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121纪检监察工作委员会</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72.48</w:t>
            </w:r>
          </w:p>
        </w:tc>
        <w:tc>
          <w:tcPr>
            <w:tcW w:w="4535" w:type="dxa"/>
            <w:vAlign w:val="center"/>
          </w:tcPr>
          <w:p>
            <w:pPr>
              <w:pStyle w:val="14"/>
            </w:pPr>
            <w:r>
              <w:t>一、一般公共服务支出</w:t>
            </w:r>
          </w:p>
        </w:tc>
        <w:tc>
          <w:tcPr>
            <w:tcW w:w="2126" w:type="dxa"/>
            <w:vAlign w:val="center"/>
          </w:tcPr>
          <w:p>
            <w:pPr>
              <w:pStyle w:val="13"/>
            </w:pPr>
            <w:r>
              <w:t>72.48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72.48</w:t>
            </w:r>
          </w:p>
        </w:tc>
        <w:tc>
          <w:tcPr>
            <w:tcW w:w="4535" w:type="dxa"/>
            <w:vAlign w:val="center"/>
          </w:tcPr>
          <w:p>
            <w:pPr>
              <w:pStyle w:val="16"/>
            </w:pPr>
            <w:r>
              <w:t>本年支出合计</w:t>
            </w:r>
          </w:p>
        </w:tc>
        <w:tc>
          <w:tcPr>
            <w:tcW w:w="2126" w:type="dxa"/>
            <w:vAlign w:val="center"/>
          </w:tcPr>
          <w:p>
            <w:pPr>
              <w:pStyle w:val="17"/>
            </w:pPr>
            <w:r>
              <w:t>72.48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72.48</w:t>
            </w:r>
          </w:p>
        </w:tc>
        <w:tc>
          <w:tcPr>
            <w:tcW w:w="4535" w:type="dxa"/>
            <w:vAlign w:val="center"/>
          </w:tcPr>
          <w:p>
            <w:pPr>
              <w:pStyle w:val="16"/>
            </w:pPr>
            <w:r>
              <w:t>支出总计</w:t>
            </w:r>
          </w:p>
        </w:tc>
        <w:tc>
          <w:tcPr>
            <w:tcW w:w="2126" w:type="dxa"/>
            <w:vAlign w:val="center"/>
          </w:tcPr>
          <w:p>
            <w:pPr>
              <w:pStyle w:val="17"/>
            </w:pPr>
            <w:r>
              <w:t>72.48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121纪检监察工作委员会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72.48</w:t>
            </w:r>
          </w:p>
        </w:tc>
        <w:tc>
          <w:tcPr>
            <w:tcW w:w="1134" w:type="dxa"/>
            <w:vAlign w:val="center"/>
          </w:tcPr>
          <w:p>
            <w:pPr>
              <w:pStyle w:val="17"/>
            </w:pPr>
            <w:r>
              <w:t>72.48</w:t>
            </w:r>
          </w:p>
        </w:tc>
        <w:tc>
          <w:tcPr>
            <w:tcW w:w="1134" w:type="dxa"/>
            <w:vAlign w:val="center"/>
          </w:tcPr>
          <w:p>
            <w:pPr>
              <w:pStyle w:val="17"/>
            </w:pPr>
            <w:r>
              <w:t>72.48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72.48</w:t>
            </w:r>
          </w:p>
        </w:tc>
        <w:tc>
          <w:tcPr>
            <w:tcW w:w="1134" w:type="dxa"/>
            <w:vAlign w:val="center"/>
          </w:tcPr>
          <w:p>
            <w:pPr>
              <w:pStyle w:val="13"/>
            </w:pPr>
            <w:r>
              <w:t>72.48</w:t>
            </w:r>
          </w:p>
        </w:tc>
        <w:tc>
          <w:tcPr>
            <w:tcW w:w="1134" w:type="dxa"/>
            <w:vAlign w:val="center"/>
          </w:tcPr>
          <w:p>
            <w:pPr>
              <w:pStyle w:val="13"/>
            </w:pPr>
            <w:r>
              <w:t>72.48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72.48</w:t>
            </w:r>
          </w:p>
        </w:tc>
        <w:tc>
          <w:tcPr>
            <w:tcW w:w="1134" w:type="dxa"/>
            <w:vAlign w:val="center"/>
          </w:tcPr>
          <w:p>
            <w:pPr>
              <w:pStyle w:val="13"/>
            </w:pPr>
            <w:r>
              <w:t>72.48</w:t>
            </w:r>
          </w:p>
        </w:tc>
        <w:tc>
          <w:tcPr>
            <w:tcW w:w="1134" w:type="dxa"/>
            <w:vAlign w:val="center"/>
          </w:tcPr>
          <w:p>
            <w:pPr>
              <w:pStyle w:val="13"/>
            </w:pPr>
            <w:r>
              <w:t>72.48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28.98</w:t>
            </w:r>
          </w:p>
        </w:tc>
        <w:tc>
          <w:tcPr>
            <w:tcW w:w="1134" w:type="dxa"/>
            <w:vAlign w:val="center"/>
          </w:tcPr>
          <w:p>
            <w:pPr>
              <w:pStyle w:val="13"/>
            </w:pPr>
            <w:r>
              <w:t>28.98</w:t>
            </w:r>
          </w:p>
        </w:tc>
        <w:tc>
          <w:tcPr>
            <w:tcW w:w="1134" w:type="dxa"/>
            <w:vAlign w:val="center"/>
          </w:tcPr>
          <w:p>
            <w:pPr>
              <w:pStyle w:val="13"/>
            </w:pPr>
            <w:r>
              <w:t>28.98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43.50</w:t>
            </w:r>
          </w:p>
        </w:tc>
        <w:tc>
          <w:tcPr>
            <w:tcW w:w="1134" w:type="dxa"/>
            <w:vAlign w:val="center"/>
          </w:tcPr>
          <w:p>
            <w:pPr>
              <w:pStyle w:val="13"/>
            </w:pPr>
            <w:r>
              <w:t>43.50</w:t>
            </w:r>
          </w:p>
        </w:tc>
        <w:tc>
          <w:tcPr>
            <w:tcW w:w="1134" w:type="dxa"/>
            <w:vAlign w:val="center"/>
          </w:tcPr>
          <w:p>
            <w:pPr>
              <w:pStyle w:val="13"/>
            </w:pPr>
            <w:r>
              <w:t>43.50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121纪检监察工作委员会</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72.48</w:t>
            </w:r>
          </w:p>
        </w:tc>
        <w:tc>
          <w:tcPr>
            <w:tcW w:w="1361" w:type="dxa"/>
            <w:vAlign w:val="center"/>
          </w:tcPr>
          <w:p>
            <w:pPr>
              <w:pStyle w:val="17"/>
            </w:pPr>
            <w:r>
              <w:t>28.98</w:t>
            </w:r>
          </w:p>
        </w:tc>
        <w:tc>
          <w:tcPr>
            <w:tcW w:w="1361" w:type="dxa"/>
            <w:vAlign w:val="center"/>
          </w:tcPr>
          <w:p>
            <w:pPr>
              <w:pStyle w:val="17"/>
            </w:pPr>
            <w:r>
              <w:t>43.50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72.48</w:t>
            </w:r>
          </w:p>
        </w:tc>
        <w:tc>
          <w:tcPr>
            <w:tcW w:w="1361" w:type="dxa"/>
            <w:vAlign w:val="center"/>
          </w:tcPr>
          <w:p>
            <w:pPr>
              <w:pStyle w:val="13"/>
            </w:pPr>
            <w:r>
              <w:t>28.98</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72.48</w:t>
            </w:r>
          </w:p>
        </w:tc>
        <w:tc>
          <w:tcPr>
            <w:tcW w:w="1361" w:type="dxa"/>
            <w:vAlign w:val="center"/>
          </w:tcPr>
          <w:p>
            <w:pPr>
              <w:pStyle w:val="13"/>
            </w:pPr>
            <w:r>
              <w:t>28.98</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28.98</w:t>
            </w:r>
          </w:p>
        </w:tc>
        <w:tc>
          <w:tcPr>
            <w:tcW w:w="1361" w:type="dxa"/>
            <w:vAlign w:val="center"/>
          </w:tcPr>
          <w:p>
            <w:pPr>
              <w:pStyle w:val="13"/>
            </w:pPr>
            <w:r>
              <w:t>28.98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121纪检监察工作委员会</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72.48</w:t>
            </w:r>
          </w:p>
        </w:tc>
        <w:tc>
          <w:tcPr>
            <w:tcW w:w="3402" w:type="dxa"/>
            <w:vAlign w:val="center"/>
          </w:tcPr>
          <w:p>
            <w:pPr>
              <w:pStyle w:val="14"/>
            </w:pPr>
            <w:r>
              <w:t>一、一般公共服务支出</w:t>
            </w:r>
          </w:p>
        </w:tc>
        <w:tc>
          <w:tcPr>
            <w:tcW w:w="1474" w:type="dxa"/>
            <w:vAlign w:val="center"/>
          </w:tcPr>
          <w:p>
            <w:pPr>
              <w:pStyle w:val="13"/>
            </w:pPr>
            <w:r>
              <w:t>72.48</w:t>
            </w:r>
          </w:p>
        </w:tc>
        <w:tc>
          <w:tcPr>
            <w:tcW w:w="1474" w:type="dxa"/>
            <w:vAlign w:val="center"/>
          </w:tcPr>
          <w:p>
            <w:pPr>
              <w:pStyle w:val="13"/>
            </w:pPr>
            <w:r>
              <w:t>72.48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72.48</w:t>
            </w:r>
          </w:p>
        </w:tc>
        <w:tc>
          <w:tcPr>
            <w:tcW w:w="3402" w:type="dxa"/>
            <w:vAlign w:val="center"/>
          </w:tcPr>
          <w:p>
            <w:pPr>
              <w:pStyle w:val="16"/>
            </w:pPr>
            <w:r>
              <w:t>本年支出合计</w:t>
            </w:r>
          </w:p>
        </w:tc>
        <w:tc>
          <w:tcPr>
            <w:tcW w:w="1474" w:type="dxa"/>
            <w:vAlign w:val="center"/>
          </w:tcPr>
          <w:p>
            <w:pPr>
              <w:pStyle w:val="17"/>
            </w:pPr>
            <w:r>
              <w:t>72.48</w:t>
            </w:r>
          </w:p>
        </w:tc>
        <w:tc>
          <w:tcPr>
            <w:tcW w:w="1474" w:type="dxa"/>
            <w:vAlign w:val="center"/>
          </w:tcPr>
          <w:p>
            <w:pPr>
              <w:pStyle w:val="17"/>
            </w:pPr>
            <w:r>
              <w:t>72.48</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72.48</w:t>
            </w:r>
          </w:p>
        </w:tc>
        <w:tc>
          <w:tcPr>
            <w:tcW w:w="3402" w:type="dxa"/>
            <w:vAlign w:val="center"/>
          </w:tcPr>
          <w:p>
            <w:pPr>
              <w:pStyle w:val="16"/>
            </w:pPr>
            <w:r>
              <w:t>支出总计</w:t>
            </w:r>
          </w:p>
        </w:tc>
        <w:tc>
          <w:tcPr>
            <w:tcW w:w="1474" w:type="dxa"/>
            <w:vAlign w:val="center"/>
          </w:tcPr>
          <w:p>
            <w:pPr>
              <w:pStyle w:val="17"/>
            </w:pPr>
            <w:r>
              <w:t>72.48</w:t>
            </w:r>
          </w:p>
        </w:tc>
        <w:tc>
          <w:tcPr>
            <w:tcW w:w="1474" w:type="dxa"/>
            <w:vAlign w:val="center"/>
          </w:tcPr>
          <w:p>
            <w:pPr>
              <w:pStyle w:val="17"/>
            </w:pPr>
            <w:r>
              <w:t>72.48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121纪检监察工作委员会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72.48</w:t>
            </w:r>
          </w:p>
        </w:tc>
        <w:tc>
          <w:tcPr>
            <w:tcW w:w="2551" w:type="dxa"/>
            <w:vAlign w:val="center"/>
          </w:tcPr>
          <w:p>
            <w:pPr>
              <w:pStyle w:val="17"/>
            </w:pPr>
            <w:r>
              <w:t>28.98</w:t>
            </w:r>
          </w:p>
        </w:tc>
        <w:tc>
          <w:tcPr>
            <w:tcW w:w="2551" w:type="dxa"/>
            <w:vAlign w:val="center"/>
          </w:tcPr>
          <w:p>
            <w:pPr>
              <w:pStyle w:val="17"/>
            </w:pPr>
            <w:r>
              <w:t>43.50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72.48</w:t>
            </w:r>
          </w:p>
        </w:tc>
        <w:tc>
          <w:tcPr>
            <w:tcW w:w="2551" w:type="dxa"/>
            <w:vAlign w:val="center"/>
          </w:tcPr>
          <w:p>
            <w:pPr>
              <w:pStyle w:val="13"/>
            </w:pPr>
            <w:r>
              <w:t>28.98</w:t>
            </w:r>
          </w:p>
        </w:tc>
        <w:tc>
          <w:tcPr>
            <w:tcW w:w="2551" w:type="dxa"/>
            <w:vAlign w:val="center"/>
          </w:tcPr>
          <w:p>
            <w:pPr>
              <w:pStyle w:val="13"/>
            </w:pPr>
            <w:r>
              <w:t>43.50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72.48</w:t>
            </w:r>
          </w:p>
        </w:tc>
        <w:tc>
          <w:tcPr>
            <w:tcW w:w="2551" w:type="dxa"/>
            <w:vAlign w:val="center"/>
          </w:tcPr>
          <w:p>
            <w:pPr>
              <w:pStyle w:val="13"/>
            </w:pPr>
            <w:r>
              <w:t>28.98</w:t>
            </w:r>
          </w:p>
        </w:tc>
        <w:tc>
          <w:tcPr>
            <w:tcW w:w="2551" w:type="dxa"/>
            <w:vAlign w:val="center"/>
          </w:tcPr>
          <w:p>
            <w:pPr>
              <w:pStyle w:val="13"/>
            </w:pPr>
            <w:r>
              <w:t>43.50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28.98</w:t>
            </w:r>
          </w:p>
        </w:tc>
        <w:tc>
          <w:tcPr>
            <w:tcW w:w="2551" w:type="dxa"/>
            <w:vAlign w:val="center"/>
          </w:tcPr>
          <w:p>
            <w:pPr>
              <w:pStyle w:val="13"/>
            </w:pPr>
            <w:r>
              <w:t>28.98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43.50</w:t>
            </w:r>
          </w:p>
        </w:tc>
        <w:tc>
          <w:tcPr>
            <w:tcW w:w="2551" w:type="dxa"/>
            <w:vAlign w:val="center"/>
          </w:tcPr>
          <w:p>
            <w:pPr>
              <w:pStyle w:val="13"/>
            </w:pPr>
          </w:p>
        </w:tc>
        <w:tc>
          <w:tcPr>
            <w:tcW w:w="2551" w:type="dxa"/>
            <w:vAlign w:val="center"/>
          </w:tcPr>
          <w:p>
            <w:pPr>
              <w:pStyle w:val="13"/>
            </w:pPr>
            <w:r>
              <w:t>43.50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121纪检监察工作委员会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28.98</w:t>
            </w:r>
          </w:p>
        </w:tc>
        <w:tc>
          <w:tcPr>
            <w:tcW w:w="2551" w:type="dxa"/>
            <w:vAlign w:val="center"/>
          </w:tcPr>
          <w:p>
            <w:pPr>
              <w:pStyle w:val="17"/>
            </w:pPr>
            <w:r>
              <w:t>23.58</w:t>
            </w:r>
          </w:p>
        </w:tc>
        <w:tc>
          <w:tcPr>
            <w:tcW w:w="2551" w:type="dxa"/>
            <w:vAlign w:val="center"/>
          </w:tcPr>
          <w:p>
            <w:pPr>
              <w:pStyle w:val="17"/>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23.58</w:t>
            </w:r>
          </w:p>
        </w:tc>
        <w:tc>
          <w:tcPr>
            <w:tcW w:w="2551" w:type="dxa"/>
            <w:vAlign w:val="center"/>
          </w:tcPr>
          <w:p>
            <w:pPr>
              <w:pStyle w:val="13"/>
            </w:pPr>
            <w:r>
              <w:t>23.58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7.54</w:t>
            </w:r>
          </w:p>
        </w:tc>
        <w:tc>
          <w:tcPr>
            <w:tcW w:w="2551" w:type="dxa"/>
            <w:vAlign w:val="center"/>
          </w:tcPr>
          <w:p>
            <w:pPr>
              <w:pStyle w:val="13"/>
            </w:pPr>
            <w:r>
              <w:t>7.54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1.81</w:t>
            </w:r>
          </w:p>
        </w:tc>
        <w:tc>
          <w:tcPr>
            <w:tcW w:w="2551" w:type="dxa"/>
            <w:vAlign w:val="center"/>
          </w:tcPr>
          <w:p>
            <w:pPr>
              <w:pStyle w:val="13"/>
            </w:pPr>
            <w:r>
              <w:t>1.81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0.63</w:t>
            </w:r>
          </w:p>
        </w:tc>
        <w:tc>
          <w:tcPr>
            <w:tcW w:w="2551" w:type="dxa"/>
            <w:vAlign w:val="center"/>
          </w:tcPr>
          <w:p>
            <w:pPr>
              <w:pStyle w:val="13"/>
            </w:pPr>
            <w:r>
              <w:t>0.63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13.60</w:t>
            </w:r>
          </w:p>
        </w:tc>
        <w:tc>
          <w:tcPr>
            <w:tcW w:w="2551" w:type="dxa"/>
            <w:vAlign w:val="center"/>
          </w:tcPr>
          <w:p>
            <w:pPr>
              <w:pStyle w:val="13"/>
            </w:pPr>
            <w:r>
              <w:t>13.60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5.40</w:t>
            </w:r>
          </w:p>
        </w:tc>
        <w:tc>
          <w:tcPr>
            <w:tcW w:w="2551" w:type="dxa"/>
            <w:vAlign w:val="center"/>
          </w:tcPr>
          <w:p>
            <w:pPr>
              <w:pStyle w:val="13"/>
            </w:pPr>
          </w:p>
        </w:tc>
        <w:tc>
          <w:tcPr>
            <w:tcW w:w="2551" w:type="dxa"/>
            <w:vAlign w:val="center"/>
          </w:tcPr>
          <w:p>
            <w:pPr>
              <w:pStyle w:val="13"/>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0.02</w:t>
            </w:r>
          </w:p>
        </w:tc>
        <w:tc>
          <w:tcPr>
            <w:tcW w:w="2551" w:type="dxa"/>
            <w:vAlign w:val="center"/>
          </w:tcPr>
          <w:p>
            <w:pPr>
              <w:pStyle w:val="13"/>
            </w:pPr>
          </w:p>
        </w:tc>
        <w:tc>
          <w:tcPr>
            <w:tcW w:w="2551" w:type="dxa"/>
            <w:vAlign w:val="center"/>
          </w:tcPr>
          <w:p>
            <w:pPr>
              <w:pStyle w:val="13"/>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0.63</w:t>
            </w:r>
          </w:p>
        </w:tc>
        <w:tc>
          <w:tcPr>
            <w:tcW w:w="2551" w:type="dxa"/>
            <w:vAlign w:val="center"/>
          </w:tcPr>
          <w:p>
            <w:pPr>
              <w:pStyle w:val="13"/>
            </w:pPr>
          </w:p>
        </w:tc>
        <w:tc>
          <w:tcPr>
            <w:tcW w:w="2551" w:type="dxa"/>
            <w:vAlign w:val="center"/>
          </w:tcPr>
          <w:p>
            <w:pPr>
              <w:pStyle w:val="13"/>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1.63</w:t>
            </w:r>
          </w:p>
        </w:tc>
        <w:tc>
          <w:tcPr>
            <w:tcW w:w="2551" w:type="dxa"/>
            <w:vAlign w:val="center"/>
          </w:tcPr>
          <w:p>
            <w:pPr>
              <w:pStyle w:val="13"/>
            </w:pPr>
          </w:p>
        </w:tc>
        <w:tc>
          <w:tcPr>
            <w:tcW w:w="2551" w:type="dxa"/>
            <w:vAlign w:val="center"/>
          </w:tcPr>
          <w:p>
            <w:pPr>
              <w:pStyle w:val="13"/>
            </w:pPr>
            <w:r>
              <w:t>1.63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121纪检监察工作委员会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121纪检监察工作委员会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121纪检监察工作委员会</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纪检监察工作委员会2025年部门预算信息公开情况说明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纪检监察工作委员会2025年部门预算信息公开情况说明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按照《中华人民共和国预算法》、《地方预决算公开操作规程》和《关于进一步推进预算公开工作的实施意见》规定，现将纪检监察工作委员会2025年部门预算公开如下：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（一）主要职责</w:t>
      </w:r>
    </w:p>
    <w:p>
      <w:pPr>
        <w:pStyle w:val="19"/>
      </w:pPr>
      <w:r>
        <w:t>主要负责内勤、外勤、财务、档案、组织等工作，对接上级纪检监察部门的办公厅、组织部、研究室、网络信息中心、机关党委和机关事务管理处等部门。</w:t>
      </w:r>
    </w:p>
    <w:p>
      <w:pPr>
        <w:pStyle w:val="19"/>
      </w:pPr>
      <w:r>
        <w:t>负责全区党风廉政建设和反腐败，纪律审查和党风政风巡察工作，对接上级纪检监察部门的纪检监察室、党风政风监督室。</w:t>
      </w:r>
    </w:p>
    <w:p>
      <w:pPr>
        <w:pStyle w:val="19"/>
      </w:pPr>
      <w:r>
        <w:t>监督检查党政机关各部门贯彻执行党和国家法律、法规、政策、决定、命令和省委、省政府、市委、市政府规章、决定、命令以及党工委、管委会规定、办法的落实情况，负责案件管理、案件线索来源、办案任务分配、督办案件进度、廉政教育、宣传、信访接待等工作，对接上级纪检监察部门的案管室、信访室、宣传部和廉政中心。</w:t>
      </w:r>
    </w:p>
    <w:p>
      <w:pPr>
        <w:pStyle w:val="19"/>
      </w:pPr>
      <w:r>
        <w:t>审理纪检监察机关有关案件，申诉复查、政策法规的把握等工作。对接上级纪检监察部门的审理室、法规室和干部监督室。</w:t>
      </w:r>
    </w:p>
    <w:p>
      <w:pPr>
        <w:pStyle w:val="19"/>
      </w:pPr>
      <w:r>
        <w:t>（二）机构设置</w:t>
      </w:r>
    </w:p>
    <w:p>
      <w:pPr>
        <w:pStyle w:val="19"/>
      </w:pPr>
      <w:r>
        <w:t>  我局属于行政单位，实有人数12人，其中行政编制1人，事业编制2人，机关劳务派遣9人。我局设立办公室，主要负责内勤、外勤、档案、组织等工作；财务室，主要负责本部门报账、记账、会计档案保管等工作：纪律审查监督室，主要负责纪律审查和党风政风巡察工作；信访案管室，主要负责案件管理、案件线索来源、办案任务分配、督办案件进度、廉政教育、宣传、信访接待等工作;审理室，主要负责案件审理、申诉复查、政策法规的把握等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纪检监察工作委员会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2025年预算收入72.48万元,全部为财政拨款收入；2025年支出预算72.48万元，其中：人员经费23.58万元，日常公用经费5.4万元，项目支出43.5万元。主要项目为纪检监察费、维修维护费。</w:t>
      </w:r>
    </w:p>
    <w:p>
      <w:pPr>
        <w:pStyle w:val="20"/>
      </w:pPr>
      <w:r>
        <w:t>2025年收支预算安排72.48万元，较2024年预算减少31.04万元，其中：人员支出减少12.66万元（原因为人员调整），基本支出减少0.18万元（原因为人员减少），项目支出比去年减少18.2万元（原因为项目调整）。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机关运行经费5.4万元，主要是办公费3.00万元，邮电费0.02万元，维修（护）费0.63万元，培训费0.12万元，其他商品和服务支出1.63万元 。</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2025年我部门一般公共预算安排的 “三公”经费预算安排0万元。具体安排情况为： </w:t>
      </w:r>
    </w:p>
    <w:p>
      <w:pPr>
        <w:pStyle w:val="22"/>
      </w:pPr>
      <w:r>
        <w:t>1、公务用车购置及运行费均为0万元，与上年持平。</w:t>
      </w:r>
    </w:p>
    <w:p>
      <w:pPr>
        <w:pStyle w:val="22"/>
      </w:pPr>
      <w:r>
        <w:t>2、公务接待费安排0万元，比上年减少0万元。</w:t>
      </w:r>
    </w:p>
    <w:p>
      <w:pPr>
        <w:pStyle w:val="22"/>
      </w:pPr>
      <w:r>
        <w:t>3、因公出国（境）费安排0万元，与上年持平。</w:t>
      </w:r>
    </w:p>
    <w:p>
      <w:pPr>
        <w:pStyle w:val="22"/>
      </w:pPr>
      <w:r>
        <w:t>我部门无政府型基金预算、国有资本经营预算和财政专户核拨资金安排的“三公”经费预算。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textAlignment w:val="auto"/>
      </w:pPr>
      <w:r>
        <w:rPr>
          <w:rFonts w:hint="eastAsia" w:ascii="Times New Roman" w:hAnsi="Times New Roman" w:eastAsia="方正仿宋_GBK" w:cs="Times New Roman"/>
          <w:sz w:val="28"/>
          <w:szCs w:val="22"/>
          <w:lang w:val="en-US" w:eastAsia="zh-CN" w:bidi="ar-SA"/>
        </w:rPr>
        <w:t>202</w:t>
      </w:r>
      <w:r>
        <w:rPr>
          <w:rFonts w:hint="eastAsia" w:eastAsia="方正仿宋_GBK" w:cs="Times New Roman"/>
          <w:sz w:val="28"/>
          <w:szCs w:val="22"/>
          <w:lang w:val="en-US" w:eastAsia="zh-CN" w:bidi="ar-SA"/>
        </w:rPr>
        <w:t>5</w:t>
      </w:r>
      <w:r>
        <w:rPr>
          <w:rFonts w:hint="eastAsia" w:ascii="Times New Roman" w:hAnsi="Times New Roman" w:eastAsia="方正仿宋_GBK" w:cs="Times New Roman"/>
          <w:sz w:val="28"/>
          <w:szCs w:val="22"/>
          <w:lang w:val="en-US" w:eastAsia="zh-CN" w:bidi="ar-SA"/>
        </w:rPr>
        <w:t>年，旅游岛</w:t>
      </w:r>
      <w:r>
        <w:rPr>
          <w:rFonts w:hint="eastAsia" w:eastAsia="方正仿宋_GBK" w:cs="Times New Roman"/>
          <w:sz w:val="28"/>
          <w:szCs w:val="22"/>
          <w:lang w:val="en-US" w:eastAsia="zh-CN" w:bidi="ar-SA"/>
        </w:rPr>
        <w:t>纪工委</w:t>
      </w:r>
      <w:r>
        <w:rPr>
          <w:rFonts w:hint="eastAsia" w:ascii="Times New Roman" w:hAnsi="Times New Roman" w:eastAsia="方正仿宋_GBK" w:cs="Times New Roman"/>
          <w:sz w:val="28"/>
          <w:szCs w:val="22"/>
          <w:lang w:val="en-US" w:eastAsia="zh-CN" w:bidi="ar-SA"/>
        </w:rPr>
        <w:t>在本年度内将使用部门预算资金共计</w:t>
      </w:r>
      <w:r>
        <w:rPr>
          <w:rFonts w:hint="eastAsia" w:eastAsia="方正仿宋_GBK" w:cs="Times New Roman"/>
          <w:sz w:val="28"/>
          <w:szCs w:val="22"/>
          <w:lang w:val="en-US" w:eastAsia="zh-CN" w:bidi="ar-SA"/>
        </w:rPr>
        <w:t>43.5</w:t>
      </w:r>
      <w:r>
        <w:rPr>
          <w:rFonts w:hint="eastAsia" w:ascii="Times New Roman" w:hAnsi="Times New Roman" w:eastAsia="方正仿宋_GBK" w:cs="Times New Roman"/>
          <w:sz w:val="28"/>
          <w:szCs w:val="22"/>
          <w:lang w:val="en-US" w:eastAsia="zh-CN" w:bidi="ar-SA"/>
        </w:rPr>
        <w:t>万元，预期要达到的总体产出和效果如下：按照省、市统一部署，做好纪检监察体制改革的基础准备工作；加大宣传力度，强化政治监督、强化日常监督，推动党工委和各党支部主体责任落实；盯紧旅游发展领域、旅游工程建设领域、金融领域和“四风”等突出问题，一体推进不敢腐、不能腐、不想腐；以人民为中心发展理念，持续推进基层“微腐败”专项整治工作，着力解决群众身边的操心事、烦心事、揪心事；深入学习《规则》《规定》《党委（党组）落实全面从严治党主体责任规定》，培养政治坚定、本领高强的高素质专业化队伍；为旅游岛营造风清气正政治生态。</w:t>
      </w:r>
    </w:p>
    <w:p>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宣传费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rPr>
        <w:t>绩效目标：</w:t>
      </w:r>
      <w:r>
        <w:rPr>
          <w:rFonts w:hint="eastAsia" w:ascii="Times New Roman" w:hAnsi="Times New Roman" w:eastAsia="方正仿宋_GBK" w:cs="Times New Roman"/>
          <w:sz w:val="28"/>
          <w:szCs w:val="22"/>
          <w:lang w:val="en-US" w:eastAsia="zh-CN" w:bidi="ar-SA"/>
        </w:rPr>
        <w:t>加大党风廉政建设和反腐败斗争工作的宣传力度；强化旅游岛全区廉政宣传，营造浓烈的宣传氛围。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lang w:eastAsia="zh-CN"/>
        </w:rPr>
        <w:t>绩效指标：</w:t>
      </w:r>
      <w:r>
        <w:rPr>
          <w:rFonts w:hint="eastAsia" w:ascii="Times New Roman" w:hAnsi="Times New Roman" w:eastAsia="方正仿宋_GBK" w:cs="Times New Roman"/>
          <w:sz w:val="28"/>
          <w:szCs w:val="22"/>
          <w:lang w:val="en-US" w:eastAsia="zh-CN" w:bidi="ar-SA"/>
        </w:rPr>
        <w:t>1</w:t>
      </w:r>
      <w:r>
        <w:rPr>
          <w:rFonts w:hint="eastAsia" w:eastAsia="方正仿宋_GBK" w:cs="Times New Roman"/>
          <w:sz w:val="28"/>
          <w:szCs w:val="22"/>
          <w:lang w:val="en-US" w:eastAsia="zh-CN" w:bidi="ar-SA"/>
        </w:rPr>
        <w:t>.</w:t>
      </w:r>
      <w:r>
        <w:rPr>
          <w:rFonts w:hint="eastAsia" w:ascii="Times New Roman" w:hAnsi="Times New Roman" w:eastAsia="方正仿宋_GBK" w:cs="Times New Roman"/>
          <w:sz w:val="28"/>
          <w:szCs w:val="22"/>
          <w:lang w:val="en-US" w:eastAsia="zh-CN" w:bidi="ar-SA"/>
        </w:rPr>
        <w:t>产出指标：采购合格率达到100%；在202</w:t>
      </w:r>
      <w:r>
        <w:rPr>
          <w:rFonts w:hint="eastAsia" w:eastAsia="方正仿宋_GBK" w:cs="Times New Roman"/>
          <w:sz w:val="28"/>
          <w:szCs w:val="22"/>
          <w:lang w:val="en-US" w:eastAsia="zh-CN" w:bidi="ar-SA"/>
        </w:rPr>
        <w:t>5</w:t>
      </w:r>
      <w:r>
        <w:rPr>
          <w:rFonts w:hint="eastAsia" w:ascii="Times New Roman" w:hAnsi="Times New Roman" w:eastAsia="方正仿宋_GBK" w:cs="Times New Roman"/>
          <w:sz w:val="28"/>
          <w:szCs w:val="22"/>
          <w:lang w:val="en-US" w:eastAsia="zh-CN" w:bidi="ar-SA"/>
        </w:rPr>
        <w:t>年12月底前完成宣传册、宣传条幅、宣传书刊等的采购及印刷等工作，预计宣传成本3万元。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textAlignment w:val="auto"/>
        <w:rPr>
          <w:rFonts w:hint="default" w:ascii="方正黑体简体" w:hAnsi="方正黑体简体" w:eastAsia="方正黑体简体" w:cs="方正黑体简体"/>
          <w:sz w:val="32"/>
          <w:szCs w:val="32"/>
          <w:lang w:val="en-US" w:eastAsia="zh-CN"/>
        </w:rPr>
      </w:pPr>
      <w:r>
        <w:rPr>
          <w:rFonts w:hint="eastAsia" w:ascii="Times New Roman" w:hAnsi="Times New Roman" w:eastAsia="方正仿宋_GBK" w:cs="Times New Roman"/>
          <w:sz w:val="28"/>
          <w:szCs w:val="22"/>
          <w:lang w:val="en-US" w:eastAsia="zh-CN" w:bidi="ar-SA"/>
        </w:rPr>
        <w:t>2</w:t>
      </w:r>
      <w:r>
        <w:rPr>
          <w:rFonts w:hint="eastAsia" w:eastAsia="方正仿宋_GBK" w:cs="Times New Roman"/>
          <w:sz w:val="28"/>
          <w:szCs w:val="22"/>
          <w:lang w:val="en-US" w:eastAsia="zh-CN" w:bidi="ar-SA"/>
        </w:rPr>
        <w:t>.</w:t>
      </w:r>
      <w:r>
        <w:rPr>
          <w:rFonts w:hint="eastAsia" w:ascii="Times New Roman" w:hAnsi="Times New Roman" w:eastAsia="方正仿宋_GBK" w:cs="Times New Roman"/>
          <w:sz w:val="28"/>
          <w:szCs w:val="22"/>
          <w:lang w:val="en-US" w:eastAsia="zh-CN" w:bidi="ar-SA"/>
        </w:rPr>
        <w:t>效果指标：构建良好政治生态，引起群众良好反响；营造反腐浓厚宣传氛围，营造反腐败高压态势；加大反腐败力度，提高全区反腐败意识。</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纪检监察费</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rPr>
        <w:t>绩效目标：</w:t>
      </w:r>
      <w:r>
        <w:rPr>
          <w:rFonts w:hint="eastAsia" w:ascii="Times New Roman" w:hAnsi="Times New Roman" w:eastAsia="方正仿宋_GBK" w:cs="Times New Roman"/>
          <w:sz w:val="28"/>
          <w:szCs w:val="22"/>
          <w:lang w:val="en-US" w:eastAsia="zh-CN" w:bidi="ar-SA"/>
        </w:rPr>
        <w:t>规范合理运行我区纪检监察事务，紧跟省市重大决策部署，完成好旅游岛纪检监察工作，营造良好政治生态。</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rPr>
        <w:t>绩效指标：</w:t>
      </w:r>
      <w:r>
        <w:rPr>
          <w:rFonts w:hint="eastAsia" w:ascii="Times New Roman" w:hAnsi="Times New Roman" w:eastAsia="方正仿宋_GBK" w:cs="Times New Roman"/>
          <w:sz w:val="28"/>
          <w:szCs w:val="22"/>
          <w:lang w:val="en-US" w:eastAsia="zh-CN" w:bidi="ar-SA"/>
        </w:rPr>
        <w:t>1.产出指标：对涉及的监督检查、案件审查、信访举报、专项行动等高质高效完成，202</w:t>
      </w:r>
      <w:r>
        <w:rPr>
          <w:rFonts w:hint="eastAsia" w:eastAsia="方正仿宋_GBK" w:cs="Times New Roman"/>
          <w:sz w:val="28"/>
          <w:szCs w:val="22"/>
          <w:lang w:val="en-US" w:eastAsia="zh-CN" w:bidi="ar-SA"/>
        </w:rPr>
        <w:t>5</w:t>
      </w:r>
      <w:r>
        <w:rPr>
          <w:rFonts w:hint="eastAsia" w:ascii="Times New Roman" w:hAnsi="Times New Roman" w:eastAsia="方正仿宋_GBK" w:cs="Times New Roman"/>
          <w:sz w:val="28"/>
          <w:szCs w:val="22"/>
          <w:lang w:val="en-US" w:eastAsia="zh-CN" w:bidi="ar-SA"/>
        </w:rPr>
        <w:t>年12月底前完成率达100%；完成纪检监察有关工作财政运行成本支出预计</w:t>
      </w:r>
      <w:r>
        <w:rPr>
          <w:rFonts w:hint="eastAsia" w:eastAsia="方正仿宋_GBK" w:cs="Times New Roman"/>
          <w:sz w:val="28"/>
          <w:szCs w:val="22"/>
          <w:lang w:val="en-US" w:eastAsia="zh-CN" w:bidi="ar-SA"/>
        </w:rPr>
        <w:t>20</w:t>
      </w:r>
      <w:r>
        <w:rPr>
          <w:rFonts w:hint="eastAsia" w:ascii="Times New Roman" w:hAnsi="Times New Roman" w:eastAsia="方正仿宋_GBK" w:cs="Times New Roman"/>
          <w:sz w:val="28"/>
          <w:szCs w:val="22"/>
          <w:lang w:val="en-US" w:eastAsia="zh-CN" w:bidi="ar-SA"/>
        </w:rPr>
        <w:t>万元。</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28"/>
          <w:szCs w:val="22"/>
          <w:lang w:val="en-US" w:eastAsia="zh-CN" w:bidi="ar-SA"/>
        </w:rPr>
        <w:t>2.效果指标：获得群众对纪检监察工作的好评和信赖，满意度调查满意率98%以上；引起群众良好反响，构建良好政治生态；营造良好反腐败高压态势，反腐败工作良好开展。</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维修维护费</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绩效目标：</w:t>
      </w:r>
      <w:r>
        <w:rPr>
          <w:rFonts w:hint="eastAsia" w:ascii="Times New Roman" w:hAnsi="Times New Roman" w:eastAsia="方正仿宋_GBK" w:cs="Times New Roman"/>
          <w:sz w:val="28"/>
          <w:szCs w:val="22"/>
          <w:lang w:val="en-US" w:eastAsia="zh-CN" w:bidi="ar-SA"/>
        </w:rPr>
        <w:t>保证内网机房及视频会议室正常运行，保证涉密信息处理及视频会议正常开展，保障审查谈话工作正常开展。</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rPr>
        <w:t>绩效指标：</w:t>
      </w:r>
      <w:r>
        <w:rPr>
          <w:rFonts w:hint="eastAsia" w:ascii="Times New Roman" w:hAnsi="Times New Roman" w:eastAsia="方正仿宋_GBK" w:cs="Times New Roman"/>
          <w:sz w:val="28"/>
          <w:szCs w:val="22"/>
          <w:lang w:val="en-US" w:eastAsia="zh-CN" w:bidi="ar-SA"/>
        </w:rPr>
        <w:t>1.产出指标：对涉密内网机房及视频会议室出现的故障及时维护，确保在202</w:t>
      </w:r>
      <w:r>
        <w:rPr>
          <w:rFonts w:hint="eastAsia" w:eastAsia="方正仿宋_GBK" w:cs="Times New Roman"/>
          <w:sz w:val="28"/>
          <w:szCs w:val="22"/>
          <w:lang w:val="en-US" w:eastAsia="zh-CN" w:bidi="ar-SA"/>
        </w:rPr>
        <w:t>5</w:t>
      </w:r>
      <w:r>
        <w:rPr>
          <w:rFonts w:hint="eastAsia" w:ascii="Times New Roman" w:hAnsi="Times New Roman" w:eastAsia="方正仿宋_GBK" w:cs="Times New Roman"/>
          <w:sz w:val="28"/>
          <w:szCs w:val="22"/>
          <w:lang w:val="en-US" w:eastAsia="zh-CN" w:bidi="ar-SA"/>
        </w:rPr>
        <w:t>年12月底前维护完成率达到100%；及时支付机房及视频会议室维护维修成本预计金额</w:t>
      </w:r>
      <w:r>
        <w:rPr>
          <w:rFonts w:hint="eastAsia" w:eastAsia="方正仿宋_GBK" w:cs="Times New Roman"/>
          <w:sz w:val="28"/>
          <w:szCs w:val="22"/>
          <w:lang w:val="en-US" w:eastAsia="zh-CN" w:bidi="ar-SA"/>
        </w:rPr>
        <w:t>9</w:t>
      </w:r>
      <w:r>
        <w:rPr>
          <w:rFonts w:hint="eastAsia" w:ascii="Times New Roman" w:hAnsi="Times New Roman" w:eastAsia="方正仿宋_GBK" w:cs="Times New Roman"/>
          <w:sz w:val="28"/>
          <w:szCs w:val="22"/>
          <w:lang w:val="en-US" w:eastAsia="zh-CN" w:bidi="ar-SA"/>
        </w:rPr>
        <w:t>万元</w:t>
      </w:r>
      <w:r>
        <w:rPr>
          <w:rFonts w:hint="eastAsia" w:eastAsia="方正仿宋_GBK" w:cs="Times New Roman"/>
          <w:sz w:val="28"/>
          <w:szCs w:val="22"/>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zh-CN" w:bidi="ar-SA"/>
        </w:rPr>
      </w:pPr>
      <w:r>
        <w:rPr>
          <w:rFonts w:hint="eastAsia" w:ascii="Times New Roman" w:hAnsi="Times New Roman" w:eastAsia="方正仿宋_GBK" w:cs="Times New Roman"/>
          <w:sz w:val="28"/>
          <w:szCs w:val="22"/>
          <w:lang w:val="en-US" w:eastAsia="zh-CN" w:bidi="ar-SA"/>
        </w:rPr>
        <w:t>2.效果指标：获得机关内工作人员好评，打好工作基础；及时处理好维护事宜，保证视频会议正常开展；处理好涉密工作，保证涉密信息处理合规运行，保证审查谈话安全运行。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业务学习费用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rPr>
        <w:t>绩效目标：</w:t>
      </w:r>
      <w:r>
        <w:rPr>
          <w:rFonts w:hint="eastAsia" w:ascii="Times New Roman" w:hAnsi="Times New Roman" w:eastAsia="方正仿宋_GBK" w:cs="Times New Roman"/>
          <w:sz w:val="28"/>
          <w:szCs w:val="22"/>
          <w:lang w:val="en-US" w:eastAsia="zh-CN" w:bidi="ar-SA"/>
        </w:rPr>
        <w:t>提升工作人员业务素质和能力；加大工作人员监督执纪知识储备，理论武装头脑，指导纪检监察工作实践。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lang w:eastAsia="zh-CN"/>
        </w:rPr>
        <w:t>绩效指标：</w:t>
      </w:r>
      <w:r>
        <w:rPr>
          <w:rFonts w:hint="eastAsia" w:ascii="Times New Roman" w:hAnsi="Times New Roman" w:eastAsia="方正仿宋_GBK" w:cs="Times New Roman"/>
          <w:sz w:val="28"/>
          <w:szCs w:val="22"/>
          <w:lang w:val="en-US" w:eastAsia="zh-CN" w:bidi="ar-SA"/>
        </w:rPr>
        <w:t>1.产出指标：在202</w:t>
      </w:r>
      <w:r>
        <w:rPr>
          <w:rFonts w:hint="eastAsia" w:eastAsia="方正仿宋_GBK" w:cs="Times New Roman"/>
          <w:sz w:val="28"/>
          <w:szCs w:val="22"/>
          <w:lang w:val="en-US" w:eastAsia="zh-CN" w:bidi="ar-SA"/>
        </w:rPr>
        <w:t>5</w:t>
      </w:r>
      <w:r>
        <w:rPr>
          <w:rFonts w:hint="eastAsia" w:ascii="Times New Roman" w:hAnsi="Times New Roman" w:eastAsia="方正仿宋_GBK" w:cs="Times New Roman"/>
          <w:sz w:val="28"/>
          <w:szCs w:val="22"/>
          <w:lang w:val="en-US" w:eastAsia="zh-CN" w:bidi="ar-SA"/>
        </w:rPr>
        <w:t>年12月底前完成外出学习3次以上；完成学习和业务技能培训；完成工作人员业务学习提升学习成本的支付，金额预计</w:t>
      </w:r>
      <w:r>
        <w:rPr>
          <w:rFonts w:hint="eastAsia" w:eastAsia="方正仿宋_GBK" w:cs="Times New Roman"/>
          <w:sz w:val="28"/>
          <w:szCs w:val="22"/>
          <w:lang w:val="en-US" w:eastAsia="zh-CN" w:bidi="ar-SA"/>
        </w:rPr>
        <w:t>1.</w:t>
      </w:r>
      <w:r>
        <w:rPr>
          <w:rFonts w:hint="eastAsia" w:ascii="Times New Roman" w:hAnsi="Times New Roman" w:eastAsia="方正仿宋_GBK" w:cs="Times New Roman"/>
          <w:sz w:val="28"/>
          <w:szCs w:val="22"/>
          <w:lang w:val="en-US" w:eastAsia="zh-CN" w:bidi="ar-SA"/>
        </w:rPr>
        <w:t>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28"/>
          <w:szCs w:val="22"/>
          <w:lang w:val="en-US" w:eastAsia="zh-CN" w:bidi="ar-SA"/>
        </w:rPr>
        <w:t>2.效果指标：打造一支能力过硬的纪检监察铁军，培养人才；获得群众好评，群众信赖度100%；提升能力素质，更好用于实践工作。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eastAsia="方正仿宋_GBK"/>
          <w:sz w:val="32"/>
          <w:szCs w:val="32"/>
        </w:rPr>
      </w:pPr>
      <w:r>
        <w:rPr>
          <w:rFonts w:hint="eastAsia" w:ascii="方正楷体简体" w:hAnsi="方正楷体简体" w:eastAsia="方正楷体简体" w:cs="方正楷体简体"/>
          <w:b/>
          <w:bCs/>
          <w:sz w:val="32"/>
          <w:szCs w:val="32"/>
          <w:lang w:eastAsia="zh-CN"/>
        </w:rPr>
        <w:t>汽车租赁费</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rPr>
        <w:t>绩效目标：</w:t>
      </w:r>
      <w:r>
        <w:rPr>
          <w:rFonts w:hint="eastAsia" w:ascii="Times New Roman" w:hAnsi="Times New Roman" w:eastAsia="方正仿宋_GBK" w:cs="Times New Roman"/>
          <w:sz w:val="28"/>
          <w:szCs w:val="22"/>
          <w:lang w:val="en-US" w:eastAsia="zh-CN" w:bidi="ar-SA"/>
        </w:rPr>
        <w:t>保证公务活动正常运行</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rPr>
        <w:t>绩效指标：</w:t>
      </w:r>
      <w:r>
        <w:rPr>
          <w:rFonts w:hint="eastAsia" w:ascii="Times New Roman" w:hAnsi="Times New Roman" w:eastAsia="方正仿宋_GBK" w:cs="Times New Roman"/>
          <w:sz w:val="28"/>
          <w:szCs w:val="22"/>
          <w:lang w:val="en-US" w:eastAsia="zh-CN" w:bidi="ar-SA"/>
        </w:rPr>
        <w:t>1.产出指标：预计租赁</w:t>
      </w:r>
      <w:r>
        <w:rPr>
          <w:rFonts w:hint="eastAsia" w:eastAsia="方正仿宋_GBK" w:cs="Times New Roman"/>
          <w:sz w:val="28"/>
          <w:szCs w:val="22"/>
          <w:lang w:val="en-US" w:eastAsia="zh-CN" w:bidi="ar-SA"/>
        </w:rPr>
        <w:t>2</w:t>
      </w:r>
      <w:r>
        <w:rPr>
          <w:rFonts w:hint="eastAsia" w:ascii="Times New Roman" w:hAnsi="Times New Roman" w:eastAsia="方正仿宋_GBK" w:cs="Times New Roman"/>
          <w:sz w:val="28"/>
          <w:szCs w:val="22"/>
          <w:lang w:val="en-US" w:eastAsia="zh-CN" w:bidi="ar-SA"/>
        </w:rPr>
        <w:t>台公务用车；在202</w:t>
      </w:r>
      <w:r>
        <w:rPr>
          <w:rFonts w:hint="eastAsia" w:eastAsia="方正仿宋_GBK" w:cs="Times New Roman"/>
          <w:sz w:val="28"/>
          <w:szCs w:val="22"/>
          <w:lang w:val="en-US" w:eastAsia="zh-CN" w:bidi="ar-SA"/>
        </w:rPr>
        <w:t>5</w:t>
      </w:r>
      <w:r>
        <w:rPr>
          <w:rFonts w:hint="eastAsia" w:ascii="Times New Roman" w:hAnsi="Times New Roman" w:eastAsia="方正仿宋_GBK" w:cs="Times New Roman"/>
          <w:sz w:val="28"/>
          <w:szCs w:val="22"/>
          <w:lang w:val="en-US" w:eastAsia="zh-CN" w:bidi="ar-SA"/>
        </w:rPr>
        <w:t>年12月底前完成且保障公务正常开展；完成纪检监察监督执纪、案件审查、文件传递、会议执行等公务活动中车辆租赁费用的成本支出预计</w:t>
      </w:r>
      <w:r>
        <w:rPr>
          <w:rFonts w:hint="eastAsia" w:eastAsia="方正仿宋_GBK" w:cs="Times New Roman"/>
          <w:sz w:val="28"/>
          <w:szCs w:val="22"/>
          <w:lang w:val="en-US" w:eastAsia="zh-CN" w:bidi="ar-SA"/>
        </w:rPr>
        <w:t>9</w:t>
      </w:r>
      <w:r>
        <w:rPr>
          <w:rFonts w:hint="eastAsia" w:ascii="Times New Roman" w:hAnsi="Times New Roman" w:eastAsia="方正仿宋_GBK" w:cs="Times New Roman"/>
          <w:sz w:val="28"/>
          <w:szCs w:val="22"/>
          <w:lang w:val="en-US" w:eastAsia="zh-CN" w:bidi="ar-SA"/>
        </w:rPr>
        <w:t>万元。</w:t>
      </w:r>
    </w:p>
    <w:p>
      <w:pPr>
        <w:keepNext w:val="0"/>
        <w:keepLines w:val="0"/>
        <w:pageBreakBefore w:val="0"/>
        <w:widowControl w:val="0"/>
        <w:numPr>
          <w:ilvl w:val="0"/>
          <w:numId w:val="0"/>
        </w:numPr>
        <w:kinsoku/>
        <w:wordWrap/>
        <w:overflowPunct/>
        <w:topLinePunct w:val="0"/>
        <w:autoSpaceDE/>
        <w:autoSpaceDN/>
        <w:bidi w:val="0"/>
        <w:spacing w:line="560" w:lineRule="exact"/>
        <w:ind w:left="630" w:leftChars="0" w:right="0" w:rightChars="0"/>
        <w:textAlignment w:val="auto"/>
        <w:rPr>
          <w:rFonts w:hint="eastAsia" w:ascii="Times New Roman" w:hAnsi="Times New Roman" w:eastAsia="方正仿宋_GBK" w:cs="Times New Roman"/>
          <w:sz w:val="28"/>
          <w:szCs w:val="22"/>
          <w:lang w:val="en-US" w:eastAsia="zh-CN" w:bidi="ar-SA"/>
        </w:rPr>
      </w:pPr>
      <w:r>
        <w:rPr>
          <w:rFonts w:hint="eastAsia" w:eastAsia="方正仿宋_GBK" w:cs="Times New Roman"/>
          <w:sz w:val="28"/>
          <w:szCs w:val="22"/>
          <w:lang w:val="en-US" w:eastAsia="zh-CN" w:bidi="ar-SA"/>
        </w:rPr>
        <w:t>2.</w:t>
      </w:r>
      <w:r>
        <w:rPr>
          <w:rFonts w:hint="eastAsia" w:ascii="Times New Roman" w:hAnsi="Times New Roman" w:eastAsia="方正仿宋_GBK" w:cs="Times New Roman"/>
          <w:sz w:val="28"/>
          <w:szCs w:val="22"/>
          <w:lang w:val="en-US" w:eastAsia="zh-CN" w:bidi="ar-SA"/>
        </w:rPr>
        <w:t>效果指标：提高工作效率，节约运行成本；做到合理合规使用公务用车，遵规守纪；并且持续高效完成公务用车工作正常开展。</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会议电路租用</w:t>
      </w:r>
      <w:r>
        <w:rPr>
          <w:rFonts w:hint="eastAsia" w:ascii="方正楷体简体" w:hAnsi="方正楷体简体" w:eastAsia="方正楷体简体" w:cs="方正楷体简体"/>
          <w:b/>
          <w:bCs/>
          <w:sz w:val="32"/>
          <w:szCs w:val="32"/>
        </w:rPr>
        <w:t>费</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绩效目标：</w:t>
      </w:r>
      <w:r>
        <w:rPr>
          <w:rFonts w:hint="eastAsia" w:ascii="Times New Roman" w:hAnsi="Times New Roman" w:eastAsia="方正仿宋_GBK" w:cs="Times New Roman"/>
          <w:sz w:val="28"/>
          <w:szCs w:val="22"/>
          <w:lang w:val="en-US" w:eastAsia="zh-CN" w:bidi="ar-SA"/>
        </w:rPr>
        <w:t>保证视频会议室正常运行。</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zh-CN" w:bidi="ar-SA"/>
        </w:rPr>
      </w:pPr>
      <w:r>
        <w:rPr>
          <w:rFonts w:hint="eastAsia" w:ascii="仿宋_GB2312" w:hAnsi="仿宋_GB2312" w:eastAsia="仿宋_GB2312" w:cs="仿宋_GB2312"/>
          <w:b/>
          <w:bCs/>
          <w:sz w:val="32"/>
          <w:szCs w:val="32"/>
        </w:rPr>
        <w:t>绩效指标：</w:t>
      </w:r>
      <w:r>
        <w:rPr>
          <w:rFonts w:hint="eastAsia" w:ascii="Times New Roman" w:hAnsi="Times New Roman" w:eastAsia="方正仿宋_GBK" w:cs="Times New Roman"/>
          <w:sz w:val="28"/>
          <w:szCs w:val="22"/>
          <w:lang w:val="en-US" w:eastAsia="zh-CN" w:bidi="ar-SA"/>
        </w:rPr>
        <w:t>1.产出指标：对视频会议室出现的故障及时维护，确保在202</w:t>
      </w:r>
      <w:r>
        <w:rPr>
          <w:rFonts w:hint="eastAsia" w:eastAsia="方正仿宋_GBK" w:cs="Times New Roman"/>
          <w:sz w:val="28"/>
          <w:szCs w:val="22"/>
          <w:lang w:val="en-US" w:eastAsia="zh-CN" w:bidi="ar-SA"/>
        </w:rPr>
        <w:t>5</w:t>
      </w:r>
      <w:bookmarkStart w:id="20" w:name="_GoBack"/>
      <w:bookmarkEnd w:id="20"/>
      <w:r>
        <w:rPr>
          <w:rFonts w:hint="eastAsia" w:ascii="Times New Roman" w:hAnsi="Times New Roman" w:eastAsia="方正仿宋_GBK" w:cs="Times New Roman"/>
          <w:sz w:val="28"/>
          <w:szCs w:val="22"/>
          <w:lang w:val="en-US" w:eastAsia="zh-CN" w:bidi="ar-SA"/>
        </w:rPr>
        <w:t>年12月底前维护完成率达到100%；及时支付视频会议室租用成本预计金额</w:t>
      </w:r>
      <w:r>
        <w:rPr>
          <w:rFonts w:hint="eastAsia" w:eastAsia="方正仿宋_GBK" w:cs="Times New Roman"/>
          <w:sz w:val="28"/>
          <w:szCs w:val="22"/>
          <w:lang w:val="en-US" w:eastAsia="zh-CN" w:bidi="ar-SA"/>
        </w:rPr>
        <w:t>1</w:t>
      </w:r>
      <w:r>
        <w:rPr>
          <w:rFonts w:hint="eastAsia" w:ascii="Times New Roman" w:hAnsi="Times New Roman" w:eastAsia="方正仿宋_GBK" w:cs="Times New Roman"/>
          <w:sz w:val="28"/>
          <w:szCs w:val="22"/>
          <w:lang w:val="en-US" w:eastAsia="zh-CN" w:bidi="ar-SA"/>
        </w:rPr>
        <w:t>万元。</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zh-CN" w:bidi="ar-SA"/>
        </w:rPr>
      </w:pPr>
      <w:r>
        <w:rPr>
          <w:rFonts w:hint="eastAsia" w:ascii="Times New Roman" w:hAnsi="Times New Roman" w:eastAsia="方正仿宋_GBK" w:cs="Times New Roman"/>
          <w:sz w:val="28"/>
          <w:szCs w:val="22"/>
          <w:lang w:val="en-US" w:eastAsia="zh-CN" w:bidi="ar-SA"/>
        </w:rPr>
        <w:t>2.效果指标：获得机关内工作人员好评，打好工作基础；及时处理好维护事宜，保证视频会议正常开展。</w:t>
      </w:r>
    </w:p>
    <w:p>
      <w:pPr>
        <w:keepNext w:val="0"/>
        <w:keepLines w:val="0"/>
        <w:pageBreakBefore w:val="0"/>
        <w:kinsoku/>
        <w:wordWrap/>
        <w:overflowPunct/>
        <w:topLinePunct w:val="0"/>
        <w:autoSpaceDE/>
        <w:autoSpaceDN/>
        <w:bidi w:val="0"/>
        <w:spacing w:line="560" w:lineRule="exact"/>
        <w:ind w:left="0" w:leftChars="0" w:right="0" w:rightChars="0" w:firstLine="560"/>
        <w:jc w:val="left"/>
        <w:textAlignment w:val="auto"/>
        <w:outlineLvl w:val="9"/>
      </w:pPr>
      <w:r>
        <w:rPr>
          <w:rFonts w:ascii="Times New Roman" w:hAnsi="Times New Roman" w:eastAsia="方正仿宋_GBK" w:cs="Times New Roman"/>
          <w:color w:val="000000"/>
          <w:sz w:val="28"/>
        </w:rPr>
        <w:t>（三）工作保障措施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zh-CN" w:bidi="ar-SA"/>
        </w:rPr>
      </w:pPr>
      <w:r>
        <w:rPr>
          <w:rFonts w:hint="eastAsia" w:ascii="Times New Roman" w:hAnsi="Times New Roman" w:eastAsia="方正仿宋_GBK" w:cs="Times New Roman"/>
          <w:sz w:val="28"/>
          <w:szCs w:val="22"/>
          <w:lang w:val="en-US" w:eastAsia="uk-UA" w:bidi="ar-SA"/>
        </w:rPr>
        <w:t>为实现年度绩效目标</w:t>
      </w:r>
      <w:r>
        <w:rPr>
          <w:rFonts w:hint="eastAsia" w:ascii="Times New Roman" w:hAnsi="Times New Roman" w:eastAsia="方正仿宋_GBK" w:cs="Times New Roman"/>
          <w:sz w:val="28"/>
          <w:szCs w:val="22"/>
          <w:lang w:val="en-US" w:eastAsia="zh-CN" w:bidi="ar-SA"/>
        </w:rPr>
        <w:t>，我单位将采取以下</w:t>
      </w:r>
      <w:r>
        <w:rPr>
          <w:rFonts w:hint="eastAsia" w:ascii="Times New Roman" w:hAnsi="Times New Roman" w:eastAsia="方正仿宋_GBK" w:cs="Times New Roman"/>
          <w:sz w:val="28"/>
          <w:szCs w:val="22"/>
          <w:lang w:val="en-US" w:eastAsia="uk-UA" w:bidi="ar-SA"/>
        </w:rPr>
        <w:t>重要措施，保证绩效目标的实现</w:t>
      </w:r>
      <w:r>
        <w:rPr>
          <w:rFonts w:hint="eastAsia" w:ascii="Times New Roman" w:hAnsi="Times New Roman" w:eastAsia="方正仿宋_GBK" w:cs="Times New Roman"/>
          <w:sz w:val="28"/>
          <w:szCs w:val="22"/>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uk-UA" w:bidi="ar-SA"/>
        </w:rPr>
      </w:pPr>
      <w:r>
        <w:rPr>
          <w:rFonts w:hint="eastAsia" w:ascii="方正楷体简体" w:hAnsi="方正楷体简体" w:eastAsia="方正楷体简体" w:cs="方正楷体简体"/>
          <w:b/>
          <w:bCs/>
          <w:sz w:val="32"/>
          <w:szCs w:val="32"/>
        </w:rPr>
        <w:t>完善制度建设。</w:t>
      </w:r>
      <w:r>
        <w:rPr>
          <w:rFonts w:hint="eastAsia" w:ascii="Times New Roman" w:hAnsi="Times New Roman" w:eastAsia="方正仿宋_GBK" w:cs="Times New Roman"/>
          <w:sz w:val="28"/>
          <w:szCs w:val="22"/>
          <w:lang w:val="en-US" w:eastAsia="zh-CN" w:bidi="ar-SA"/>
        </w:rPr>
        <w:t>年内根据财政局预算资金拨付情况合理合规使用预算资金，拟建立《唐山市监察局唐山国际旅游岛监察分局预算资金使用制度》，在</w:t>
      </w:r>
      <w:r>
        <w:rPr>
          <w:rFonts w:hint="eastAsia" w:ascii="Times New Roman" w:hAnsi="Times New Roman" w:eastAsia="方正仿宋_GBK" w:cs="Times New Roman"/>
          <w:sz w:val="28"/>
          <w:szCs w:val="22"/>
          <w:lang w:val="en-US" w:eastAsia="uk-UA" w:bidi="ar-SA"/>
        </w:rPr>
        <w:t>预算绩效管理、资金管理、工作保障制度</w:t>
      </w:r>
      <w:r>
        <w:rPr>
          <w:rFonts w:hint="eastAsia" w:ascii="Times New Roman" w:hAnsi="Times New Roman" w:eastAsia="方正仿宋_GBK" w:cs="Times New Roman"/>
          <w:sz w:val="28"/>
          <w:szCs w:val="22"/>
          <w:lang w:val="en-US" w:eastAsia="zh-CN" w:bidi="ar-SA"/>
        </w:rPr>
        <w:t>等多方面进行约束</w:t>
      </w:r>
      <w:r>
        <w:rPr>
          <w:rFonts w:hint="eastAsia" w:ascii="Times New Roman" w:hAnsi="Times New Roman" w:eastAsia="方正仿宋_GBK" w:cs="Times New Roman"/>
          <w:sz w:val="28"/>
          <w:szCs w:val="22"/>
          <w:lang w:val="en-US" w:eastAsia="uk-UA" w:bidi="ar-SA"/>
        </w:rPr>
        <w:t>，为全年预算绩效目标的实现奠定制度基础。</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加强支出管理。</w:t>
      </w:r>
      <w:r>
        <w:rPr>
          <w:rFonts w:hint="eastAsia" w:ascii="Times New Roman" w:hAnsi="Times New Roman" w:eastAsia="方正仿宋_GBK" w:cs="Times New Roman"/>
          <w:sz w:val="28"/>
          <w:szCs w:val="22"/>
          <w:lang w:val="en-US" w:eastAsia="zh-CN" w:bidi="ar-SA"/>
        </w:rPr>
        <w:t>唐山市监察局唐山国际旅游岛监察分局年初在多科室的配合和领导的强力领导下</w:t>
      </w:r>
      <w:r>
        <w:rPr>
          <w:rFonts w:hint="eastAsia" w:ascii="Times New Roman" w:hAnsi="Times New Roman" w:eastAsia="方正仿宋_GBK" w:cs="Times New Roman"/>
          <w:sz w:val="28"/>
          <w:szCs w:val="22"/>
          <w:lang w:val="en-US" w:eastAsia="uk-UA" w:bidi="ar-SA"/>
        </w:rPr>
        <w:t>编细编实预算</w:t>
      </w:r>
      <w:r>
        <w:rPr>
          <w:rFonts w:hint="eastAsia" w:ascii="Times New Roman" w:hAnsi="Times New Roman" w:eastAsia="方正仿宋_GBK" w:cs="Times New Roman"/>
          <w:sz w:val="28"/>
          <w:szCs w:val="22"/>
          <w:lang w:val="en-US" w:eastAsia="zh-CN" w:bidi="ar-SA"/>
        </w:rPr>
        <w:t>，年中</w:t>
      </w:r>
      <w:r>
        <w:rPr>
          <w:rFonts w:hint="eastAsia" w:ascii="Times New Roman" w:hAnsi="Times New Roman" w:eastAsia="方正仿宋_GBK" w:cs="Times New Roman"/>
          <w:sz w:val="28"/>
          <w:szCs w:val="22"/>
          <w:lang w:val="en-US" w:eastAsia="uk-UA" w:bidi="ar-SA"/>
        </w:rPr>
        <w:t>加快履行政府采购手续</w:t>
      </w:r>
      <w:r>
        <w:rPr>
          <w:rFonts w:hint="eastAsia" w:ascii="Times New Roman" w:hAnsi="Times New Roman" w:eastAsia="方正仿宋_GBK" w:cs="Times New Roman"/>
          <w:sz w:val="28"/>
          <w:szCs w:val="22"/>
          <w:lang w:val="en-US" w:eastAsia="zh-CN" w:bidi="ar-SA"/>
        </w:rPr>
        <w:t>，</w:t>
      </w:r>
      <w:r>
        <w:rPr>
          <w:rFonts w:hint="eastAsia" w:ascii="Times New Roman" w:hAnsi="Times New Roman" w:eastAsia="方正仿宋_GBK" w:cs="Times New Roman"/>
          <w:sz w:val="28"/>
          <w:szCs w:val="22"/>
          <w:lang w:val="en-US" w:eastAsia="uk-UA" w:bidi="ar-SA"/>
        </w:rPr>
        <w:t>尽快启动项目</w:t>
      </w:r>
      <w:r>
        <w:rPr>
          <w:rFonts w:hint="eastAsia" w:ascii="Times New Roman" w:hAnsi="Times New Roman" w:eastAsia="方正仿宋_GBK" w:cs="Times New Roman"/>
          <w:sz w:val="28"/>
          <w:szCs w:val="22"/>
          <w:lang w:val="en-US" w:eastAsia="zh-CN" w:bidi="ar-SA"/>
        </w:rPr>
        <w:t>，</w:t>
      </w:r>
      <w:r>
        <w:rPr>
          <w:rFonts w:hint="eastAsia" w:ascii="Times New Roman" w:hAnsi="Times New Roman" w:eastAsia="方正仿宋_GBK" w:cs="Times New Roman"/>
          <w:sz w:val="28"/>
          <w:szCs w:val="22"/>
          <w:lang w:val="en-US" w:eastAsia="uk-UA" w:bidi="ar-SA"/>
        </w:rPr>
        <w:t>及时支付资金</w:t>
      </w:r>
      <w:r>
        <w:rPr>
          <w:rFonts w:hint="eastAsia" w:ascii="Times New Roman" w:hAnsi="Times New Roman" w:eastAsia="方正仿宋_GBK" w:cs="Times New Roman"/>
          <w:sz w:val="28"/>
          <w:szCs w:val="22"/>
          <w:lang w:val="en-US" w:eastAsia="zh-CN" w:bidi="ar-SA"/>
        </w:rPr>
        <w:t>，严格按照拨付额度安排项目，</w:t>
      </w:r>
      <w:r>
        <w:rPr>
          <w:rFonts w:hint="eastAsia" w:ascii="Times New Roman" w:hAnsi="Times New Roman" w:eastAsia="方正仿宋_GBK" w:cs="Times New Roman"/>
          <w:sz w:val="28"/>
          <w:szCs w:val="22"/>
          <w:lang w:val="en-US" w:eastAsia="uk-UA" w:bidi="ar-SA"/>
        </w:rPr>
        <w:t>确保支出进度达标</w:t>
      </w:r>
      <w:r>
        <w:rPr>
          <w:rFonts w:hint="eastAsia" w:ascii="Times New Roman" w:hAnsi="Times New Roman" w:eastAsia="方正仿宋_GBK" w:cs="Times New Roman"/>
          <w:sz w:val="28"/>
          <w:szCs w:val="22"/>
          <w:lang w:val="en-US" w:eastAsia="zh-CN" w:bidi="ar-SA"/>
        </w:rPr>
        <w:t>，并及时向领导汇报</w:t>
      </w:r>
      <w:r>
        <w:rPr>
          <w:rFonts w:hint="eastAsia" w:ascii="Times New Roman" w:hAnsi="Times New Roman" w:eastAsia="方正仿宋_GBK" w:cs="Times New Roman"/>
          <w:sz w:val="28"/>
          <w:szCs w:val="22"/>
          <w:lang w:val="en-US" w:eastAsia="uk-UA" w:bidi="ar-SA"/>
        </w:rPr>
        <w:t>。</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Times New Roman" w:hAnsi="Times New Roman" w:eastAsia="方正仿宋_GBK" w:cs="Times New Roman"/>
          <w:kern w:val="0"/>
          <w:sz w:val="28"/>
          <w:szCs w:val="22"/>
          <w:lang w:val="en-US" w:eastAsia="zh-CN" w:bidi="ar-SA"/>
        </w:rPr>
      </w:pPr>
      <w:r>
        <w:rPr>
          <w:rFonts w:hint="eastAsia" w:ascii="方正楷体简体" w:hAnsi="方正楷体简体" w:eastAsia="方正楷体简体" w:cs="方正楷体简体"/>
          <w:b/>
          <w:bCs/>
          <w:sz w:val="32"/>
          <w:szCs w:val="32"/>
        </w:rPr>
        <w:t>加强绩效运行监控。</w:t>
      </w:r>
      <w:r>
        <w:rPr>
          <w:rFonts w:hint="eastAsia" w:ascii="Times New Roman" w:hAnsi="Times New Roman" w:eastAsia="方正仿宋_GBK" w:cs="Times New Roman"/>
          <w:kern w:val="0"/>
          <w:sz w:val="28"/>
          <w:szCs w:val="22"/>
          <w:lang w:val="en-US" w:eastAsia="zh-CN" w:bidi="ar-SA"/>
        </w:rPr>
        <w:t>按照省、市统一部署，做好纪检监察工作。盯紧重要项目，安排3人成立绩效监控小组，发现问题及时向领导汇报，确保绩效目标如期保质实现，开展预算监控，为做好全年纪检监察工作做好财务保障，为旅游岛营造风清气正政治生态。</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uk-UA" w:bidi="ar-SA"/>
        </w:rPr>
      </w:pPr>
      <w:r>
        <w:rPr>
          <w:rFonts w:hint="eastAsia" w:ascii="方正楷体简体" w:hAnsi="方正楷体简体" w:eastAsia="方正楷体简体" w:cs="方正楷体简体"/>
          <w:b/>
          <w:bCs/>
          <w:sz w:val="32"/>
          <w:szCs w:val="32"/>
        </w:rPr>
        <w:t>做好绩效自评。</w:t>
      </w:r>
      <w:r>
        <w:rPr>
          <w:rFonts w:hint="eastAsia" w:ascii="Times New Roman" w:hAnsi="Times New Roman" w:eastAsia="方正仿宋_GBK" w:cs="Times New Roman"/>
          <w:sz w:val="28"/>
          <w:szCs w:val="22"/>
          <w:lang w:val="en-US" w:eastAsia="zh-CN" w:bidi="ar-SA"/>
        </w:rPr>
        <w:t>紧跟上级财政部门和本级财政局的重要部署，安排2人专门</w:t>
      </w:r>
      <w:r>
        <w:rPr>
          <w:rFonts w:hint="eastAsia" w:ascii="Times New Roman" w:hAnsi="Times New Roman" w:eastAsia="方正仿宋_GBK" w:cs="Times New Roman"/>
          <w:sz w:val="28"/>
          <w:szCs w:val="22"/>
          <w:lang w:val="en-US" w:eastAsia="uk-UA" w:bidi="ar-SA"/>
        </w:rPr>
        <w:t>开展上年度部门预算绩效自评和重点评价工作，对评价中发现的问题及时</w:t>
      </w:r>
      <w:r>
        <w:rPr>
          <w:rFonts w:hint="eastAsia" w:ascii="Times New Roman" w:hAnsi="Times New Roman" w:eastAsia="方正仿宋_GBK" w:cs="Times New Roman"/>
          <w:sz w:val="28"/>
          <w:szCs w:val="22"/>
          <w:lang w:val="en-US" w:eastAsia="zh-CN" w:bidi="ar-SA"/>
        </w:rPr>
        <w:t>向领导汇报，征求意见后按要求及时</w:t>
      </w:r>
      <w:r>
        <w:rPr>
          <w:rFonts w:hint="eastAsia" w:ascii="Times New Roman" w:hAnsi="Times New Roman" w:eastAsia="方正仿宋_GBK" w:cs="Times New Roman"/>
          <w:sz w:val="28"/>
          <w:szCs w:val="22"/>
          <w:lang w:val="en-US" w:eastAsia="uk-UA" w:bidi="ar-SA"/>
        </w:rPr>
        <w:t>整改，调整优化支出结构，提高财政资金使用效益</w:t>
      </w:r>
      <w:r>
        <w:rPr>
          <w:rFonts w:hint="eastAsia" w:ascii="Times New Roman" w:hAnsi="Times New Roman" w:eastAsia="方正仿宋_GBK" w:cs="Times New Roman"/>
          <w:sz w:val="28"/>
          <w:szCs w:val="22"/>
          <w:lang w:val="en-US" w:eastAsia="zh-CN" w:bidi="ar-SA"/>
        </w:rPr>
        <w:t>，保证项目顺利进行</w:t>
      </w:r>
      <w:r>
        <w:rPr>
          <w:rFonts w:hint="eastAsia" w:ascii="Times New Roman" w:hAnsi="Times New Roman" w:eastAsia="方正仿宋_GBK" w:cs="Times New Roman"/>
          <w:sz w:val="28"/>
          <w:szCs w:val="22"/>
          <w:lang w:val="en-US" w:eastAsia="uk-UA" w:bidi="ar-SA"/>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uk-UA" w:bidi="ar-SA"/>
        </w:rPr>
      </w:pPr>
      <w:r>
        <w:rPr>
          <w:rFonts w:hint="eastAsia" w:ascii="方正楷体简体" w:hAnsi="方正楷体简体" w:eastAsia="方正楷体简体" w:cs="方正楷体简体"/>
          <w:b/>
          <w:bCs/>
          <w:sz w:val="32"/>
          <w:szCs w:val="32"/>
        </w:rPr>
        <w:t>规范财务资产管理。</w:t>
      </w:r>
      <w:r>
        <w:rPr>
          <w:rFonts w:hint="eastAsia" w:ascii="Times New Roman" w:hAnsi="Times New Roman" w:eastAsia="方正仿宋_GBK" w:cs="Times New Roman"/>
          <w:sz w:val="28"/>
          <w:szCs w:val="22"/>
          <w:lang w:val="en-US" w:eastAsia="uk-UA" w:bidi="ar-SA"/>
        </w:rPr>
        <w:t>认真学习贯彻财经法规，遵守财经纪律，严格按照事业单位会计制度保证本单位财产物资、货币资金的安全并确保合理使用</w:t>
      </w:r>
      <w:r>
        <w:rPr>
          <w:rFonts w:hint="eastAsia" w:ascii="Times New Roman" w:hAnsi="Times New Roman" w:eastAsia="方正仿宋_GBK" w:cs="Times New Roman"/>
          <w:sz w:val="28"/>
          <w:szCs w:val="22"/>
          <w:lang w:val="en-US" w:eastAsia="zh-CN" w:bidi="ar-SA"/>
        </w:rPr>
        <w:t>，</w:t>
      </w:r>
      <w:r>
        <w:rPr>
          <w:rFonts w:hint="eastAsia" w:ascii="Times New Roman" w:hAnsi="Times New Roman" w:eastAsia="方正仿宋_GBK" w:cs="Times New Roman"/>
          <w:sz w:val="28"/>
          <w:szCs w:val="22"/>
          <w:lang w:val="en-US" w:eastAsia="uk-UA" w:bidi="ar-SA"/>
        </w:rPr>
        <w:t>严格</w:t>
      </w:r>
      <w:r>
        <w:rPr>
          <w:rFonts w:hint="eastAsia" w:ascii="Times New Roman" w:hAnsi="Times New Roman" w:eastAsia="方正仿宋_GBK" w:cs="Times New Roman"/>
          <w:sz w:val="28"/>
          <w:szCs w:val="22"/>
          <w:lang w:val="en-US" w:eastAsia="zh-CN" w:bidi="ar-SA"/>
        </w:rPr>
        <w:t>按照</w:t>
      </w:r>
      <w:r>
        <w:rPr>
          <w:rFonts w:hint="eastAsia" w:ascii="Times New Roman" w:hAnsi="Times New Roman" w:eastAsia="方正仿宋_GBK" w:cs="Times New Roman"/>
          <w:sz w:val="28"/>
          <w:szCs w:val="22"/>
          <w:lang w:val="en-US" w:eastAsia="uk-UA" w:bidi="ar-SA"/>
        </w:rPr>
        <w:t>审批程序，加强固定资产登记、使用</w:t>
      </w:r>
      <w:r>
        <w:rPr>
          <w:rFonts w:hint="eastAsia" w:ascii="Times New Roman" w:hAnsi="Times New Roman" w:eastAsia="方正仿宋_GBK" w:cs="Times New Roman"/>
          <w:sz w:val="28"/>
          <w:szCs w:val="22"/>
          <w:lang w:val="en-US" w:eastAsia="zh-CN" w:bidi="ar-SA"/>
        </w:rPr>
        <w:t>等</w:t>
      </w:r>
      <w:r>
        <w:rPr>
          <w:rFonts w:hint="eastAsia" w:ascii="Times New Roman" w:hAnsi="Times New Roman" w:eastAsia="方正仿宋_GBK" w:cs="Times New Roman"/>
          <w:sz w:val="28"/>
          <w:szCs w:val="22"/>
          <w:lang w:val="en-US" w:eastAsia="uk-UA" w:bidi="ar-SA"/>
        </w:rPr>
        <w:t>废处置管理，做到支出合理。</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ascii="Times New Roman" w:hAnsi="Times New Roman" w:eastAsia="方正仿宋_GBK" w:cs="Times New Roman"/>
          <w:sz w:val="28"/>
          <w:szCs w:val="22"/>
          <w:lang w:val="en-US" w:eastAsia="uk-UA" w:bidi="ar-SA"/>
        </w:rPr>
      </w:pPr>
      <w:r>
        <w:rPr>
          <w:rFonts w:hint="eastAsia" w:ascii="方正楷体简体" w:hAnsi="方正楷体简体" w:eastAsia="方正楷体简体" w:cs="方正楷体简体"/>
          <w:b/>
          <w:bCs/>
          <w:sz w:val="32"/>
          <w:szCs w:val="32"/>
        </w:rPr>
        <w:t>加强内部监督。</w:t>
      </w:r>
      <w:r>
        <w:rPr>
          <w:rFonts w:hint="eastAsia" w:ascii="Times New Roman" w:hAnsi="Times New Roman" w:eastAsia="方正仿宋_GBK" w:cs="Times New Roman"/>
          <w:sz w:val="28"/>
          <w:szCs w:val="22"/>
          <w:lang w:val="en-US" w:eastAsia="zh-CN" w:bidi="ar-SA"/>
        </w:rPr>
        <w:t>拟安排监督监察室</w:t>
      </w:r>
      <w:r>
        <w:rPr>
          <w:rFonts w:hint="eastAsia" w:ascii="Times New Roman" w:hAnsi="Times New Roman" w:eastAsia="方正仿宋_GBK" w:cs="Times New Roman"/>
          <w:sz w:val="28"/>
          <w:szCs w:val="22"/>
          <w:lang w:val="en-US" w:eastAsia="uk-UA" w:bidi="ar-SA"/>
        </w:rPr>
        <w:t>加强内部监督</w:t>
      </w:r>
      <w:r>
        <w:rPr>
          <w:rFonts w:hint="eastAsia" w:ascii="Times New Roman" w:hAnsi="Times New Roman" w:eastAsia="方正仿宋_GBK" w:cs="Times New Roman"/>
          <w:sz w:val="28"/>
          <w:szCs w:val="22"/>
          <w:lang w:val="en-US" w:eastAsia="zh-CN" w:bidi="ar-SA"/>
        </w:rPr>
        <w:t>，</w:t>
      </w:r>
      <w:r>
        <w:rPr>
          <w:rFonts w:hint="eastAsia" w:ascii="Times New Roman" w:hAnsi="Times New Roman" w:eastAsia="方正仿宋_GBK" w:cs="Times New Roman"/>
          <w:sz w:val="28"/>
          <w:szCs w:val="22"/>
          <w:lang w:val="en-US" w:eastAsia="uk-UA" w:bidi="ar-SA"/>
        </w:rPr>
        <w:t>对</w:t>
      </w:r>
      <w:r>
        <w:rPr>
          <w:rFonts w:hint="eastAsia" w:ascii="Times New Roman" w:hAnsi="Times New Roman" w:eastAsia="方正仿宋_GBK" w:cs="Times New Roman"/>
          <w:sz w:val="28"/>
          <w:szCs w:val="22"/>
          <w:lang w:val="en-US" w:eastAsia="zh-CN" w:bidi="ar-SA"/>
        </w:rPr>
        <w:t>6个项目的</w:t>
      </w:r>
      <w:r>
        <w:rPr>
          <w:rFonts w:hint="eastAsia" w:ascii="Times New Roman" w:hAnsi="Times New Roman" w:eastAsia="方正仿宋_GBK" w:cs="Times New Roman"/>
          <w:sz w:val="28"/>
          <w:szCs w:val="22"/>
          <w:lang w:val="en-US" w:eastAsia="uk-UA" w:bidi="ar-SA"/>
        </w:rPr>
        <w:t>绩效运行情况、重大支出决策、资产处置及其他重要经济业务事项的决策和执行进行督导，</w:t>
      </w:r>
      <w:r>
        <w:rPr>
          <w:rFonts w:hint="eastAsia" w:ascii="Times New Roman" w:hAnsi="Times New Roman" w:eastAsia="方正仿宋_GBK" w:cs="Times New Roman"/>
          <w:sz w:val="28"/>
          <w:szCs w:val="22"/>
          <w:lang w:val="en-US" w:eastAsia="zh-CN" w:bidi="ar-SA"/>
        </w:rPr>
        <w:t>会计加强</w:t>
      </w:r>
      <w:r>
        <w:rPr>
          <w:rFonts w:hint="eastAsia" w:ascii="Times New Roman" w:hAnsi="Times New Roman" w:eastAsia="方正仿宋_GBK" w:cs="Times New Roman"/>
          <w:sz w:val="28"/>
          <w:szCs w:val="22"/>
          <w:lang w:val="en-US" w:eastAsia="uk-UA" w:bidi="ar-SA"/>
        </w:rPr>
        <w:t>会计资料</w:t>
      </w:r>
      <w:r>
        <w:rPr>
          <w:rFonts w:hint="eastAsia" w:ascii="Times New Roman" w:hAnsi="Times New Roman" w:eastAsia="方正仿宋_GBK" w:cs="Times New Roman"/>
          <w:sz w:val="28"/>
          <w:szCs w:val="22"/>
          <w:lang w:val="en-US" w:eastAsia="zh-CN" w:bidi="ar-SA"/>
        </w:rPr>
        <w:t>的审核把关，坚决强化领导签字盖章制度</w:t>
      </w:r>
      <w:r>
        <w:rPr>
          <w:rFonts w:hint="eastAsia" w:ascii="Times New Roman" w:hAnsi="Times New Roman" w:eastAsia="方正仿宋_GBK" w:cs="Times New Roman"/>
          <w:sz w:val="28"/>
          <w:szCs w:val="22"/>
          <w:lang w:val="en-US" w:eastAsia="uk-UA" w:bidi="ar-SA"/>
        </w:rPr>
        <w:t>，确保财政资金安全有效。</w:t>
      </w:r>
    </w:p>
    <w:p>
      <w:pPr>
        <w:keepNext w:val="0"/>
        <w:keepLines w:val="0"/>
        <w:pageBreakBefore w:val="0"/>
        <w:widowControl w:val="0"/>
        <w:kinsoku/>
        <w:wordWrap/>
        <w:overflowPunct/>
        <w:topLinePunct w:val="0"/>
        <w:autoSpaceDE/>
        <w:autoSpaceDN/>
        <w:bidi w:val="0"/>
        <w:spacing w:line="560" w:lineRule="exact"/>
        <w:ind w:left="0" w:leftChars="0" w:right="0" w:rightChars="0" w:firstLine="630"/>
        <w:textAlignment w:val="auto"/>
        <w:rPr>
          <w:rFonts w:hint="eastAsia" w:eastAsia="方正仿宋_GBK"/>
          <w:sz w:val="32"/>
          <w:szCs w:val="32"/>
        </w:rPr>
      </w:pPr>
      <w:r>
        <w:rPr>
          <w:rFonts w:hint="eastAsia" w:ascii="方正楷体简体" w:hAnsi="方正楷体简体" w:eastAsia="方正楷体简体" w:cs="方正楷体简体"/>
          <w:b/>
          <w:bCs/>
          <w:sz w:val="32"/>
          <w:szCs w:val="32"/>
        </w:rPr>
        <w:t>加强宣传培训调研等。</w:t>
      </w:r>
      <w:r>
        <w:rPr>
          <w:rFonts w:hint="eastAsia" w:ascii="Times New Roman" w:hAnsi="Times New Roman" w:eastAsia="方正仿宋_GBK" w:cs="Times New Roman"/>
          <w:sz w:val="28"/>
          <w:szCs w:val="22"/>
          <w:lang w:val="en-US" w:eastAsia="zh-CN" w:bidi="ar-SA"/>
        </w:rPr>
        <w:t>积极参加财政部门</w:t>
      </w:r>
      <w:r>
        <w:rPr>
          <w:rFonts w:hint="eastAsia" w:ascii="Times New Roman" w:hAnsi="Times New Roman" w:eastAsia="方正仿宋_GBK" w:cs="Times New Roman"/>
          <w:sz w:val="28"/>
          <w:szCs w:val="22"/>
          <w:lang w:val="en-US" w:eastAsia="uk-UA" w:bidi="ar-SA"/>
        </w:rPr>
        <w:t>人员培训，提高本部门职工业务素质；</w:t>
      </w:r>
      <w:r>
        <w:rPr>
          <w:rFonts w:hint="eastAsia" w:ascii="Times New Roman" w:hAnsi="Times New Roman" w:eastAsia="方正仿宋_GBK" w:cs="Times New Roman"/>
          <w:sz w:val="28"/>
          <w:szCs w:val="22"/>
          <w:lang w:val="en-US" w:eastAsia="zh-CN" w:bidi="ar-SA"/>
        </w:rPr>
        <w:t>配合有关单位搞好</w:t>
      </w:r>
      <w:r>
        <w:rPr>
          <w:rFonts w:hint="eastAsia" w:ascii="Times New Roman" w:hAnsi="Times New Roman" w:eastAsia="方正仿宋_GBK" w:cs="Times New Roman"/>
          <w:sz w:val="28"/>
          <w:szCs w:val="22"/>
          <w:lang w:val="en-US" w:eastAsia="uk-UA" w:bidi="ar-SA"/>
        </w:rPr>
        <w:t>调研，强化预算绩效管理意识</w:t>
      </w:r>
      <w:r>
        <w:rPr>
          <w:rFonts w:hint="eastAsia" w:ascii="Times New Roman" w:hAnsi="Times New Roman" w:eastAsia="方正仿宋_GBK" w:cs="Times New Roman"/>
          <w:sz w:val="28"/>
          <w:szCs w:val="22"/>
          <w:lang w:val="en-US" w:eastAsia="zh-CN" w:bidi="ar-SA"/>
        </w:rPr>
        <w:t>，提升人员水平和绩效质量</w:t>
      </w:r>
      <w:r>
        <w:rPr>
          <w:rFonts w:hint="eastAsia" w:ascii="Times New Roman" w:hAnsi="Times New Roman" w:eastAsia="方正仿宋_GBK" w:cs="Times New Roman"/>
          <w:sz w:val="28"/>
          <w:szCs w:val="22"/>
          <w:lang w:val="en-US" w:eastAsia="uk-UA" w:bidi="ar-SA"/>
        </w:rPr>
        <w:t>。</w:t>
      </w:r>
    </w:p>
    <w:p>
      <w:pPr>
        <w:pStyle w:val="25"/>
        <w:ind w:left="0" w:leftChars="0" w:firstLine="0" w:firstLineChars="0"/>
        <w:sectPr>
          <w:pgSz w:w="16840" w:h="11900" w:orient="landscape"/>
          <w:pgMar w:top="1361" w:right="1020" w:bottom="1361" w:left="1020" w:header="720" w:footer="720" w:gutter="0"/>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1、会议电路租用费绩效目标表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13021925P00021510001U</w:t>
            </w:r>
          </w:p>
        </w:tc>
        <w:tc>
          <w:tcPr>
            <w:tcW w:w="2835" w:type="dxa"/>
            <w:vAlign w:val="center"/>
          </w:tcPr>
          <w:p>
            <w:pPr>
              <w:pStyle w:val="12"/>
            </w:pPr>
            <w:r>
              <w:t>项目名称</w:t>
            </w:r>
          </w:p>
        </w:tc>
        <w:tc>
          <w:tcPr>
            <w:tcW w:w="6095" w:type="dxa"/>
            <w:gridSpan w:val="3"/>
            <w:vAlign w:val="center"/>
          </w:tcPr>
          <w:p>
            <w:pPr>
              <w:pStyle w:val="14"/>
            </w:pPr>
            <w:r>
              <w:t>会议电路租用费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视频会议室会议电路租用费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1.保证视频会议室正常运行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完成率</w:t>
            </w:r>
          </w:p>
        </w:tc>
        <w:tc>
          <w:tcPr>
            <w:tcW w:w="5386" w:type="dxa"/>
            <w:vAlign w:val="center"/>
          </w:tcPr>
          <w:p>
            <w:pPr>
              <w:pStyle w:val="14"/>
            </w:pPr>
            <w:r>
              <w:t>对视频会议室出现的故障及时维护，确保维护完成率</w:t>
            </w:r>
          </w:p>
        </w:tc>
        <w:tc>
          <w:tcPr>
            <w:tcW w:w="2268" w:type="dxa"/>
            <w:vAlign w:val="center"/>
          </w:tcPr>
          <w:p>
            <w:pPr>
              <w:pStyle w:val="14"/>
            </w:pPr>
            <w:r>
              <w:t>≥99百分之</w:t>
            </w:r>
          </w:p>
        </w:tc>
        <w:tc>
          <w:tcPr>
            <w:tcW w:w="1276" w:type="dxa"/>
            <w:vAlign w:val="center"/>
          </w:tcPr>
          <w:p>
            <w:pPr>
              <w:pStyle w:val="14"/>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12月底前完成</w:t>
            </w:r>
          </w:p>
        </w:tc>
        <w:tc>
          <w:tcPr>
            <w:tcW w:w="2268" w:type="dxa"/>
            <w:vAlign w:val="center"/>
          </w:tcPr>
          <w:p>
            <w:pPr>
              <w:pStyle w:val="14"/>
            </w:pPr>
            <w:r>
              <w:t>≤12月</w:t>
            </w:r>
          </w:p>
        </w:tc>
        <w:tc>
          <w:tcPr>
            <w:tcW w:w="1276" w:type="dxa"/>
            <w:vAlign w:val="center"/>
          </w:tcPr>
          <w:p>
            <w:pPr>
              <w:pStyle w:val="14"/>
            </w:pPr>
            <w:r>
              <w:t>按照实际支出</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视频会议室电路租用</w:t>
            </w:r>
          </w:p>
        </w:tc>
        <w:tc>
          <w:tcPr>
            <w:tcW w:w="5386" w:type="dxa"/>
            <w:vAlign w:val="center"/>
          </w:tcPr>
          <w:p>
            <w:pPr>
              <w:pStyle w:val="14"/>
            </w:pPr>
            <w:r>
              <w:t>及时完成视频会议室电路租用成本支出</w:t>
            </w:r>
          </w:p>
        </w:tc>
        <w:tc>
          <w:tcPr>
            <w:tcW w:w="2268" w:type="dxa"/>
            <w:vAlign w:val="center"/>
          </w:tcPr>
          <w:p>
            <w:pPr>
              <w:pStyle w:val="14"/>
            </w:pPr>
            <w:r>
              <w:t>≤1万元</w:t>
            </w:r>
          </w:p>
        </w:tc>
        <w:tc>
          <w:tcPr>
            <w:tcW w:w="1276" w:type="dxa"/>
            <w:vAlign w:val="center"/>
          </w:tcPr>
          <w:p>
            <w:pPr>
              <w:pStyle w:val="14"/>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视频会议室电路租用</w:t>
            </w:r>
          </w:p>
        </w:tc>
        <w:tc>
          <w:tcPr>
            <w:tcW w:w="5386" w:type="dxa"/>
            <w:vAlign w:val="center"/>
          </w:tcPr>
          <w:p>
            <w:pPr>
              <w:pStyle w:val="14"/>
            </w:pPr>
            <w:r>
              <w:t>及时完成视频会议室电路租用成本支出</w:t>
            </w:r>
          </w:p>
        </w:tc>
        <w:tc>
          <w:tcPr>
            <w:tcW w:w="2268" w:type="dxa"/>
            <w:vAlign w:val="center"/>
          </w:tcPr>
          <w:p>
            <w:pPr>
              <w:pStyle w:val="14"/>
            </w:pPr>
            <w:r>
              <w:t>≤1万元</w:t>
            </w:r>
          </w:p>
        </w:tc>
        <w:tc>
          <w:tcPr>
            <w:tcW w:w="1276" w:type="dxa"/>
            <w:vAlign w:val="center"/>
          </w:tcPr>
          <w:p>
            <w:pPr>
              <w:pStyle w:val="14"/>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工作基础</w:t>
            </w:r>
          </w:p>
        </w:tc>
        <w:tc>
          <w:tcPr>
            <w:tcW w:w="5386" w:type="dxa"/>
            <w:vAlign w:val="center"/>
          </w:tcPr>
          <w:p>
            <w:pPr>
              <w:pStyle w:val="14"/>
            </w:pPr>
            <w:r>
              <w:t>获得工作人员好评，打好工作基础</w:t>
            </w:r>
          </w:p>
        </w:tc>
        <w:tc>
          <w:tcPr>
            <w:tcW w:w="2268" w:type="dxa"/>
            <w:vAlign w:val="center"/>
          </w:tcPr>
          <w:p>
            <w:pPr>
              <w:pStyle w:val="14"/>
            </w:pPr>
            <w:r>
              <w:t>≥99百分之</w:t>
            </w:r>
          </w:p>
        </w:tc>
        <w:tc>
          <w:tcPr>
            <w:tcW w:w="1276" w:type="dxa"/>
            <w:vAlign w:val="center"/>
          </w:tcPr>
          <w:p>
            <w:pPr>
              <w:pStyle w:val="14"/>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视频会议处理工作</w:t>
            </w:r>
          </w:p>
        </w:tc>
        <w:tc>
          <w:tcPr>
            <w:tcW w:w="5386" w:type="dxa"/>
            <w:vAlign w:val="center"/>
          </w:tcPr>
          <w:p>
            <w:pPr>
              <w:pStyle w:val="14"/>
            </w:pPr>
            <w:r>
              <w:t>处理好维护事宜，保证视频会议正常开展</w:t>
            </w:r>
          </w:p>
        </w:tc>
        <w:tc>
          <w:tcPr>
            <w:tcW w:w="2268" w:type="dxa"/>
            <w:vAlign w:val="center"/>
          </w:tcPr>
          <w:p>
            <w:pPr>
              <w:pStyle w:val="14"/>
            </w:pPr>
            <w:r>
              <w:t>≥99百分之</w:t>
            </w:r>
          </w:p>
        </w:tc>
        <w:tc>
          <w:tcPr>
            <w:tcW w:w="1276" w:type="dxa"/>
            <w:vAlign w:val="center"/>
          </w:tcPr>
          <w:p>
            <w:pPr>
              <w:pStyle w:val="14"/>
            </w:pPr>
            <w:r>
              <w:t>按照实际支出</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涉密信息处理工作</w:t>
            </w:r>
          </w:p>
        </w:tc>
        <w:tc>
          <w:tcPr>
            <w:tcW w:w="5386" w:type="dxa"/>
            <w:vAlign w:val="center"/>
          </w:tcPr>
          <w:p>
            <w:pPr>
              <w:pStyle w:val="14"/>
            </w:pPr>
            <w:r>
              <w:t>处理好涉密工作，保证涉密信息处理合规运行</w:t>
            </w:r>
          </w:p>
        </w:tc>
        <w:tc>
          <w:tcPr>
            <w:tcW w:w="2268" w:type="dxa"/>
            <w:vAlign w:val="center"/>
          </w:tcPr>
          <w:p>
            <w:pPr>
              <w:pStyle w:val="14"/>
            </w:pPr>
            <w:r>
              <w:t>≥99百分之</w:t>
            </w:r>
          </w:p>
        </w:tc>
        <w:tc>
          <w:tcPr>
            <w:tcW w:w="1276" w:type="dxa"/>
            <w:vAlign w:val="center"/>
          </w:tcPr>
          <w:p>
            <w:pPr>
              <w:pStyle w:val="14"/>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涉密信息处理工作</w:t>
            </w:r>
          </w:p>
        </w:tc>
        <w:tc>
          <w:tcPr>
            <w:tcW w:w="5386" w:type="dxa"/>
            <w:vAlign w:val="center"/>
          </w:tcPr>
          <w:p>
            <w:pPr>
              <w:pStyle w:val="14"/>
            </w:pPr>
            <w:r>
              <w:t>处理好涉密工作，保证涉密信息处理合规运行</w:t>
            </w:r>
          </w:p>
        </w:tc>
        <w:tc>
          <w:tcPr>
            <w:tcW w:w="2268" w:type="dxa"/>
            <w:vAlign w:val="center"/>
          </w:tcPr>
          <w:p>
            <w:pPr>
              <w:pStyle w:val="14"/>
            </w:pPr>
            <w:r>
              <w:t>≥99百分之</w:t>
            </w:r>
          </w:p>
        </w:tc>
        <w:tc>
          <w:tcPr>
            <w:tcW w:w="1276" w:type="dxa"/>
            <w:vAlign w:val="center"/>
          </w:tcPr>
          <w:p>
            <w:pPr>
              <w:pStyle w:val="14"/>
            </w:pPr>
            <w:r>
              <w:t>按照实际支出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w:t>
            </w:r>
          </w:p>
        </w:tc>
        <w:tc>
          <w:tcPr>
            <w:tcW w:w="2268" w:type="dxa"/>
            <w:vAlign w:val="center"/>
          </w:tcPr>
          <w:p>
            <w:pPr>
              <w:pStyle w:val="14"/>
            </w:pPr>
            <w:r>
              <w:t>≥99百分之</w:t>
            </w:r>
          </w:p>
        </w:tc>
        <w:tc>
          <w:tcPr>
            <w:tcW w:w="1276" w:type="dxa"/>
            <w:vAlign w:val="center"/>
          </w:tcPr>
          <w:p>
            <w:pPr>
              <w:pStyle w:val="14"/>
            </w:pPr>
            <w:r>
              <w:t>按照实际支出</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2、纪检监察费绩效目标表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13021925P00020810001M</w:t>
            </w:r>
          </w:p>
        </w:tc>
        <w:tc>
          <w:tcPr>
            <w:tcW w:w="2835" w:type="dxa"/>
            <w:vAlign w:val="center"/>
          </w:tcPr>
          <w:p>
            <w:pPr>
              <w:pStyle w:val="12"/>
            </w:pPr>
            <w:r>
              <w:t>项目名称</w:t>
            </w:r>
          </w:p>
        </w:tc>
        <w:tc>
          <w:tcPr>
            <w:tcW w:w="6095" w:type="dxa"/>
            <w:gridSpan w:val="3"/>
            <w:vAlign w:val="center"/>
          </w:tcPr>
          <w:p>
            <w:pPr>
              <w:pStyle w:val="14"/>
            </w:pPr>
            <w:r>
              <w:t>纪检监察费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用于纪检监察事务有关支出，包括行政运行、一般行政事务管理、机关事务、大案要案查处、派出机构业务、巡视业务、事业运行、其他纪检监察事务支出等。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13%</w:t>
            </w:r>
          </w:p>
        </w:tc>
        <w:tc>
          <w:tcPr>
            <w:tcW w:w="2835" w:type="dxa"/>
            <w:vAlign w:val="center"/>
          </w:tcPr>
          <w:p>
            <w:pPr>
              <w:pStyle w:val="15"/>
            </w:pPr>
            <w:r>
              <w:t>50%</w:t>
            </w:r>
          </w:p>
        </w:tc>
        <w:tc>
          <w:tcPr>
            <w:tcW w:w="2551" w:type="dxa"/>
            <w:vAlign w:val="center"/>
          </w:tcPr>
          <w:p>
            <w:pPr>
              <w:pStyle w:val="15"/>
            </w:pPr>
            <w:r>
              <w:t>63%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1.用于纪检监察事务有关支出，包括行政运行、一般行政事务管理、机关事务、大案要案查处、派出机构业务、巡视业务、事业运行、其他纪检监察事务支出等。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完成率</w:t>
            </w:r>
          </w:p>
        </w:tc>
        <w:tc>
          <w:tcPr>
            <w:tcW w:w="5386" w:type="dxa"/>
            <w:vAlign w:val="center"/>
          </w:tcPr>
          <w:p>
            <w:pPr>
              <w:pStyle w:val="14"/>
            </w:pPr>
            <w:r>
              <w:t>对涉及的监督检查、案件审查、信访举报、专项行动等高质高效完成</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12月底前完成</w:t>
            </w:r>
          </w:p>
        </w:tc>
        <w:tc>
          <w:tcPr>
            <w:tcW w:w="2268" w:type="dxa"/>
            <w:vAlign w:val="center"/>
          </w:tcPr>
          <w:p>
            <w:pPr>
              <w:pStyle w:val="14"/>
            </w:pPr>
            <w:r>
              <w:t>≤12月</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纪检监察工作运行成本</w:t>
            </w:r>
          </w:p>
        </w:tc>
        <w:tc>
          <w:tcPr>
            <w:tcW w:w="5386" w:type="dxa"/>
            <w:vAlign w:val="center"/>
          </w:tcPr>
          <w:p>
            <w:pPr>
              <w:pStyle w:val="14"/>
            </w:pPr>
            <w:r>
              <w:t>完成纪检监察有关工作财政运行成本支出</w:t>
            </w:r>
          </w:p>
        </w:tc>
        <w:tc>
          <w:tcPr>
            <w:tcW w:w="2268" w:type="dxa"/>
            <w:vAlign w:val="center"/>
          </w:tcPr>
          <w:p>
            <w:pPr>
              <w:pStyle w:val="14"/>
            </w:pPr>
            <w:r>
              <w:t>≥18万元</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纪检监察工作运行成本</w:t>
            </w:r>
          </w:p>
        </w:tc>
        <w:tc>
          <w:tcPr>
            <w:tcW w:w="5386" w:type="dxa"/>
            <w:vAlign w:val="center"/>
          </w:tcPr>
          <w:p>
            <w:pPr>
              <w:pStyle w:val="14"/>
            </w:pPr>
            <w:r>
              <w:t>完成纪检监察有关工作财政运行成本支出</w:t>
            </w:r>
          </w:p>
        </w:tc>
        <w:tc>
          <w:tcPr>
            <w:tcW w:w="2268" w:type="dxa"/>
            <w:vAlign w:val="center"/>
          </w:tcPr>
          <w:p>
            <w:pPr>
              <w:pStyle w:val="14"/>
            </w:pPr>
            <w:r>
              <w:t>≤20万元</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群众信赖度</w:t>
            </w:r>
          </w:p>
        </w:tc>
        <w:tc>
          <w:tcPr>
            <w:tcW w:w="5386" w:type="dxa"/>
            <w:vAlign w:val="center"/>
          </w:tcPr>
          <w:p>
            <w:pPr>
              <w:pStyle w:val="14"/>
            </w:pPr>
            <w:r>
              <w:t>获得群众好评和信赖</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群众反响</w:t>
            </w:r>
          </w:p>
        </w:tc>
        <w:tc>
          <w:tcPr>
            <w:tcW w:w="5386" w:type="dxa"/>
            <w:vAlign w:val="center"/>
          </w:tcPr>
          <w:p>
            <w:pPr>
              <w:pStyle w:val="14"/>
            </w:pPr>
            <w:r>
              <w:t>引起群众良好反响，构建良好政治生态</w:t>
            </w:r>
          </w:p>
        </w:tc>
        <w:tc>
          <w:tcPr>
            <w:tcW w:w="2268" w:type="dxa"/>
            <w:vAlign w:val="center"/>
          </w:tcPr>
          <w:p>
            <w:pPr>
              <w:pStyle w:val="14"/>
            </w:pPr>
            <w:r>
              <w:t>≥99百分之</w:t>
            </w:r>
          </w:p>
        </w:tc>
        <w:tc>
          <w:tcPr>
            <w:tcW w:w="1276" w:type="dxa"/>
            <w:vAlign w:val="center"/>
          </w:tcPr>
          <w:p>
            <w:pPr>
              <w:pStyle w:val="14"/>
            </w:pPr>
            <w:r>
              <w:t>按需支出</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反腐败工作</w:t>
            </w:r>
          </w:p>
        </w:tc>
        <w:tc>
          <w:tcPr>
            <w:tcW w:w="5386" w:type="dxa"/>
            <w:vAlign w:val="center"/>
          </w:tcPr>
          <w:p>
            <w:pPr>
              <w:pStyle w:val="14"/>
            </w:pPr>
            <w:r>
              <w:t>营造良好反腐高压态势，反腐败工作良好开展</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反腐败工作</w:t>
            </w:r>
          </w:p>
        </w:tc>
        <w:tc>
          <w:tcPr>
            <w:tcW w:w="5386" w:type="dxa"/>
            <w:vAlign w:val="center"/>
          </w:tcPr>
          <w:p>
            <w:pPr>
              <w:pStyle w:val="14"/>
            </w:pPr>
            <w:r>
              <w:t>营造良好反腐高压态势，反腐败工作良好开展</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w:t>
            </w:r>
          </w:p>
        </w:tc>
        <w:tc>
          <w:tcPr>
            <w:tcW w:w="2268" w:type="dxa"/>
            <w:vAlign w:val="center"/>
          </w:tcPr>
          <w:p>
            <w:pPr>
              <w:pStyle w:val="14"/>
            </w:pPr>
            <w:r>
              <w:t>≥99百分之</w:t>
            </w:r>
          </w:p>
        </w:tc>
        <w:tc>
          <w:tcPr>
            <w:tcW w:w="1276" w:type="dxa"/>
            <w:vAlign w:val="center"/>
          </w:tcPr>
          <w:p>
            <w:pPr>
              <w:pStyle w:val="14"/>
            </w:pPr>
            <w:r>
              <w:t>按需支出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3、汽车租赁费绩效目标表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13021925P00021310001G</w:t>
            </w:r>
          </w:p>
        </w:tc>
        <w:tc>
          <w:tcPr>
            <w:tcW w:w="2835" w:type="dxa"/>
            <w:vAlign w:val="center"/>
          </w:tcPr>
          <w:p>
            <w:pPr>
              <w:pStyle w:val="12"/>
            </w:pPr>
            <w:r>
              <w:t>项目名称</w:t>
            </w:r>
          </w:p>
        </w:tc>
        <w:tc>
          <w:tcPr>
            <w:tcW w:w="6095" w:type="dxa"/>
            <w:gridSpan w:val="3"/>
            <w:vAlign w:val="center"/>
          </w:tcPr>
          <w:p>
            <w:pPr>
              <w:pStyle w:val="14"/>
            </w:pPr>
            <w:r>
              <w:t>汽车租赁费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保证公务活动正常运行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1.主要用于纪检监察监督执纪、案件审查、文件传递等有关公务活动有关车辆租赁、燃油费、通行费及维修费等。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租车2台</w:t>
            </w:r>
          </w:p>
        </w:tc>
        <w:tc>
          <w:tcPr>
            <w:tcW w:w="5386" w:type="dxa"/>
            <w:vAlign w:val="center"/>
          </w:tcPr>
          <w:p>
            <w:pPr>
              <w:pStyle w:val="14"/>
            </w:pPr>
            <w:r>
              <w:t>2台</w:t>
            </w:r>
          </w:p>
        </w:tc>
        <w:tc>
          <w:tcPr>
            <w:tcW w:w="2268" w:type="dxa"/>
            <w:vAlign w:val="center"/>
          </w:tcPr>
          <w:p>
            <w:pPr>
              <w:pStyle w:val="14"/>
            </w:pPr>
            <w:r>
              <w:t>2台</w:t>
            </w:r>
          </w:p>
        </w:tc>
        <w:tc>
          <w:tcPr>
            <w:tcW w:w="1276" w:type="dxa"/>
            <w:vAlign w:val="center"/>
          </w:tcPr>
          <w:p>
            <w:pPr>
              <w:pStyle w:val="14"/>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12月底前完成</w:t>
            </w:r>
          </w:p>
        </w:tc>
        <w:tc>
          <w:tcPr>
            <w:tcW w:w="5386" w:type="dxa"/>
            <w:vAlign w:val="center"/>
          </w:tcPr>
          <w:p>
            <w:pPr>
              <w:pStyle w:val="14"/>
            </w:pPr>
            <w:r>
              <w:t>≤12个月</w:t>
            </w:r>
          </w:p>
        </w:tc>
        <w:tc>
          <w:tcPr>
            <w:tcW w:w="2268" w:type="dxa"/>
            <w:vAlign w:val="center"/>
          </w:tcPr>
          <w:p>
            <w:pPr>
              <w:pStyle w:val="14"/>
            </w:pPr>
            <w:r>
              <w:t>≤1212月底前完成</w:t>
            </w:r>
          </w:p>
        </w:tc>
        <w:tc>
          <w:tcPr>
            <w:tcW w:w="1276" w:type="dxa"/>
            <w:vAlign w:val="center"/>
          </w:tcPr>
          <w:p>
            <w:pPr>
              <w:pStyle w:val="14"/>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成纪检监察监督执纪、案件审查、文件传递、会议执行等公务活动中车辆租赁费用的支出</w:t>
            </w:r>
          </w:p>
        </w:tc>
        <w:tc>
          <w:tcPr>
            <w:tcW w:w="5386" w:type="dxa"/>
            <w:vAlign w:val="center"/>
          </w:tcPr>
          <w:p>
            <w:pPr>
              <w:pStyle w:val="14"/>
            </w:pPr>
            <w:r>
              <w:t>≥8万元</w:t>
            </w:r>
          </w:p>
        </w:tc>
        <w:tc>
          <w:tcPr>
            <w:tcW w:w="2268" w:type="dxa"/>
            <w:vAlign w:val="center"/>
          </w:tcPr>
          <w:p>
            <w:pPr>
              <w:pStyle w:val="14"/>
            </w:pPr>
            <w:r>
              <w:t>≥8万元</w:t>
            </w:r>
          </w:p>
        </w:tc>
        <w:tc>
          <w:tcPr>
            <w:tcW w:w="1276" w:type="dxa"/>
            <w:vAlign w:val="center"/>
          </w:tcPr>
          <w:p>
            <w:pPr>
              <w:pStyle w:val="14"/>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成纪检监察监督执纪、案件审查、文件传递、会议执行等公务活动中车辆租赁费用的支出</w:t>
            </w:r>
          </w:p>
        </w:tc>
        <w:tc>
          <w:tcPr>
            <w:tcW w:w="5386" w:type="dxa"/>
            <w:vAlign w:val="center"/>
          </w:tcPr>
          <w:p>
            <w:pPr>
              <w:pStyle w:val="14"/>
            </w:pPr>
            <w:r>
              <w:t>≤9万元</w:t>
            </w:r>
          </w:p>
        </w:tc>
        <w:tc>
          <w:tcPr>
            <w:tcW w:w="2268" w:type="dxa"/>
            <w:vAlign w:val="center"/>
          </w:tcPr>
          <w:p>
            <w:pPr>
              <w:pStyle w:val="14"/>
            </w:pPr>
            <w:r>
              <w:t>≤9万元</w:t>
            </w:r>
          </w:p>
        </w:tc>
        <w:tc>
          <w:tcPr>
            <w:tcW w:w="1276" w:type="dxa"/>
            <w:vAlign w:val="center"/>
          </w:tcPr>
          <w:p>
            <w:pPr>
              <w:pStyle w:val="14"/>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运行成本</w:t>
            </w:r>
          </w:p>
        </w:tc>
        <w:tc>
          <w:tcPr>
            <w:tcW w:w="5386" w:type="dxa"/>
            <w:vAlign w:val="center"/>
          </w:tcPr>
          <w:p>
            <w:pPr>
              <w:pStyle w:val="14"/>
            </w:pPr>
            <w:r>
              <w:t>提高工作效率，节约成本</w:t>
            </w:r>
          </w:p>
        </w:tc>
        <w:tc>
          <w:tcPr>
            <w:tcW w:w="2268" w:type="dxa"/>
            <w:vAlign w:val="center"/>
          </w:tcPr>
          <w:p>
            <w:pPr>
              <w:pStyle w:val="14"/>
            </w:pPr>
            <w:r>
              <w:t>≥99百分之</w:t>
            </w:r>
          </w:p>
        </w:tc>
        <w:tc>
          <w:tcPr>
            <w:tcW w:w="1276" w:type="dxa"/>
            <w:vAlign w:val="center"/>
          </w:tcPr>
          <w:p>
            <w:pPr>
              <w:pStyle w:val="14"/>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公务用车使用情况</w:t>
            </w:r>
          </w:p>
        </w:tc>
        <w:tc>
          <w:tcPr>
            <w:tcW w:w="5386" w:type="dxa"/>
            <w:vAlign w:val="center"/>
          </w:tcPr>
          <w:p>
            <w:pPr>
              <w:pStyle w:val="14"/>
            </w:pPr>
            <w:r>
              <w:t>合理合规使用公务用车，遵规守纪</w:t>
            </w:r>
          </w:p>
        </w:tc>
        <w:tc>
          <w:tcPr>
            <w:tcW w:w="2268" w:type="dxa"/>
            <w:vAlign w:val="center"/>
          </w:tcPr>
          <w:p>
            <w:pPr>
              <w:pStyle w:val="14"/>
            </w:pPr>
            <w:r>
              <w:t>≥99百分之</w:t>
            </w:r>
          </w:p>
        </w:tc>
        <w:tc>
          <w:tcPr>
            <w:tcW w:w="1276" w:type="dxa"/>
            <w:vAlign w:val="center"/>
          </w:tcPr>
          <w:p>
            <w:pPr>
              <w:pStyle w:val="14"/>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纪检监察公务用车完成度</w:t>
            </w:r>
          </w:p>
        </w:tc>
        <w:tc>
          <w:tcPr>
            <w:tcW w:w="5386" w:type="dxa"/>
            <w:vAlign w:val="center"/>
          </w:tcPr>
          <w:p>
            <w:pPr>
              <w:pStyle w:val="14"/>
            </w:pPr>
            <w:r>
              <w:t>持续高效完成公务用车工作正常开展</w:t>
            </w:r>
          </w:p>
        </w:tc>
        <w:tc>
          <w:tcPr>
            <w:tcW w:w="2268" w:type="dxa"/>
            <w:vAlign w:val="center"/>
          </w:tcPr>
          <w:p>
            <w:pPr>
              <w:pStyle w:val="14"/>
            </w:pPr>
            <w:r>
              <w:t>≥99百分之</w:t>
            </w:r>
          </w:p>
        </w:tc>
        <w:tc>
          <w:tcPr>
            <w:tcW w:w="1276" w:type="dxa"/>
            <w:vAlign w:val="center"/>
          </w:tcPr>
          <w:p>
            <w:pPr>
              <w:pStyle w:val="14"/>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纪检监察公务用车完成度</w:t>
            </w:r>
          </w:p>
        </w:tc>
        <w:tc>
          <w:tcPr>
            <w:tcW w:w="5386" w:type="dxa"/>
            <w:vAlign w:val="center"/>
          </w:tcPr>
          <w:p>
            <w:pPr>
              <w:pStyle w:val="14"/>
            </w:pPr>
            <w:r>
              <w:t>持续高效完成公务用车工作正常开展</w:t>
            </w:r>
          </w:p>
        </w:tc>
        <w:tc>
          <w:tcPr>
            <w:tcW w:w="2268" w:type="dxa"/>
            <w:vAlign w:val="center"/>
          </w:tcPr>
          <w:p>
            <w:pPr>
              <w:pStyle w:val="14"/>
            </w:pPr>
            <w:r>
              <w:t>≥99百分之</w:t>
            </w:r>
          </w:p>
        </w:tc>
        <w:tc>
          <w:tcPr>
            <w:tcW w:w="1276" w:type="dxa"/>
            <w:vAlign w:val="center"/>
          </w:tcPr>
          <w:p>
            <w:pPr>
              <w:pStyle w:val="14"/>
            </w:pPr>
            <w:r>
              <w:t>按实际需求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w:t>
            </w:r>
          </w:p>
        </w:tc>
        <w:tc>
          <w:tcPr>
            <w:tcW w:w="2268" w:type="dxa"/>
            <w:vAlign w:val="center"/>
          </w:tcPr>
          <w:p>
            <w:pPr>
              <w:pStyle w:val="14"/>
            </w:pPr>
            <w:r>
              <w:t>≥99百分之</w:t>
            </w:r>
          </w:p>
        </w:tc>
        <w:tc>
          <w:tcPr>
            <w:tcW w:w="1276" w:type="dxa"/>
            <w:vAlign w:val="center"/>
          </w:tcPr>
          <w:p>
            <w:pPr>
              <w:pStyle w:val="14"/>
            </w:pPr>
            <w:r>
              <w:t>按实际需求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4、维修维护费绩效目标表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13021925P000211100015</w:t>
            </w:r>
          </w:p>
        </w:tc>
        <w:tc>
          <w:tcPr>
            <w:tcW w:w="2835" w:type="dxa"/>
            <w:vAlign w:val="center"/>
          </w:tcPr>
          <w:p>
            <w:pPr>
              <w:pStyle w:val="12"/>
            </w:pPr>
            <w:r>
              <w:t>项目名称</w:t>
            </w:r>
          </w:p>
        </w:tc>
        <w:tc>
          <w:tcPr>
            <w:tcW w:w="6095" w:type="dxa"/>
            <w:gridSpan w:val="3"/>
            <w:vAlign w:val="center"/>
          </w:tcPr>
          <w:p>
            <w:pPr>
              <w:pStyle w:val="14"/>
            </w:pPr>
            <w:r>
              <w:t>维修维护费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保证内网机房及视频会议室正常运行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1.涉密内网线、视频会议室线路租赁费及日常维护维修费；谈话室日常维护维修费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完成率</w:t>
            </w:r>
          </w:p>
        </w:tc>
        <w:tc>
          <w:tcPr>
            <w:tcW w:w="5386" w:type="dxa"/>
            <w:vAlign w:val="center"/>
          </w:tcPr>
          <w:p>
            <w:pPr>
              <w:pStyle w:val="14"/>
            </w:pPr>
            <w:r>
              <w:t>对涉密内网机房、视频会议室及谈话室出现的故障及时维护，确保维护完成率</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12月底前完成</w:t>
            </w:r>
          </w:p>
        </w:tc>
        <w:tc>
          <w:tcPr>
            <w:tcW w:w="2268" w:type="dxa"/>
            <w:vAlign w:val="center"/>
          </w:tcPr>
          <w:p>
            <w:pPr>
              <w:pStyle w:val="14"/>
            </w:pPr>
            <w:r>
              <w:t>≤12月</w:t>
            </w:r>
          </w:p>
        </w:tc>
        <w:tc>
          <w:tcPr>
            <w:tcW w:w="1276" w:type="dxa"/>
            <w:vAlign w:val="center"/>
          </w:tcPr>
          <w:p>
            <w:pPr>
              <w:pStyle w:val="14"/>
            </w:pPr>
            <w:r>
              <w:t>按需支出</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机房及视频会议维修成本</w:t>
            </w:r>
          </w:p>
        </w:tc>
        <w:tc>
          <w:tcPr>
            <w:tcW w:w="5386" w:type="dxa"/>
            <w:vAlign w:val="center"/>
          </w:tcPr>
          <w:p>
            <w:pPr>
              <w:pStyle w:val="14"/>
            </w:pPr>
            <w:r>
              <w:t>及时完成机房、视频会议室及谈话室维护维修成本支出</w:t>
            </w:r>
          </w:p>
        </w:tc>
        <w:tc>
          <w:tcPr>
            <w:tcW w:w="2268" w:type="dxa"/>
            <w:vAlign w:val="center"/>
          </w:tcPr>
          <w:p>
            <w:pPr>
              <w:pStyle w:val="14"/>
            </w:pPr>
            <w:r>
              <w:t>≥8万元</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机房及视频会议维修成本</w:t>
            </w:r>
          </w:p>
        </w:tc>
        <w:tc>
          <w:tcPr>
            <w:tcW w:w="5386" w:type="dxa"/>
            <w:vAlign w:val="center"/>
          </w:tcPr>
          <w:p>
            <w:pPr>
              <w:pStyle w:val="14"/>
            </w:pPr>
            <w:r>
              <w:t>及时完成机房、视频会议室及谈话室维护维修成本支出</w:t>
            </w:r>
          </w:p>
        </w:tc>
        <w:tc>
          <w:tcPr>
            <w:tcW w:w="2268" w:type="dxa"/>
            <w:vAlign w:val="center"/>
          </w:tcPr>
          <w:p>
            <w:pPr>
              <w:pStyle w:val="14"/>
            </w:pPr>
            <w:r>
              <w:t>≤9万元</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工作基础</w:t>
            </w:r>
          </w:p>
        </w:tc>
        <w:tc>
          <w:tcPr>
            <w:tcW w:w="5386" w:type="dxa"/>
            <w:vAlign w:val="center"/>
          </w:tcPr>
          <w:p>
            <w:pPr>
              <w:pStyle w:val="14"/>
            </w:pPr>
            <w:r>
              <w:t>获得工作人员好评，打好工作基础</w:t>
            </w:r>
          </w:p>
        </w:tc>
        <w:tc>
          <w:tcPr>
            <w:tcW w:w="2268" w:type="dxa"/>
            <w:vAlign w:val="center"/>
          </w:tcPr>
          <w:p>
            <w:pPr>
              <w:pStyle w:val="14"/>
            </w:pPr>
            <w:r>
              <w:t>≥99百分之</w:t>
            </w:r>
          </w:p>
        </w:tc>
        <w:tc>
          <w:tcPr>
            <w:tcW w:w="1276" w:type="dxa"/>
            <w:vAlign w:val="center"/>
          </w:tcPr>
          <w:p>
            <w:pPr>
              <w:pStyle w:val="14"/>
            </w:pPr>
            <w:r>
              <w:t>按需支出</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视频会议处理工作</w:t>
            </w:r>
          </w:p>
        </w:tc>
        <w:tc>
          <w:tcPr>
            <w:tcW w:w="5386" w:type="dxa"/>
            <w:vAlign w:val="center"/>
          </w:tcPr>
          <w:p>
            <w:pPr>
              <w:pStyle w:val="14"/>
            </w:pPr>
            <w:r>
              <w:t>处理好维护事宜，保证视频会议正常开展</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涉密信息处理工作</w:t>
            </w:r>
          </w:p>
        </w:tc>
        <w:tc>
          <w:tcPr>
            <w:tcW w:w="5386" w:type="dxa"/>
            <w:vAlign w:val="center"/>
          </w:tcPr>
          <w:p>
            <w:pPr>
              <w:pStyle w:val="14"/>
            </w:pPr>
            <w:r>
              <w:t>处理好涉密工作，保证涉密信息处理合规运行</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涉密信息处理工作</w:t>
            </w:r>
          </w:p>
        </w:tc>
        <w:tc>
          <w:tcPr>
            <w:tcW w:w="5386" w:type="dxa"/>
            <w:vAlign w:val="center"/>
          </w:tcPr>
          <w:p>
            <w:pPr>
              <w:pStyle w:val="14"/>
            </w:pPr>
            <w:r>
              <w:t>处理好涉密工作，保证涉密信息处理合规运行</w:t>
            </w:r>
          </w:p>
        </w:tc>
        <w:tc>
          <w:tcPr>
            <w:tcW w:w="2268" w:type="dxa"/>
            <w:vAlign w:val="center"/>
          </w:tcPr>
          <w:p>
            <w:pPr>
              <w:pStyle w:val="14"/>
            </w:pPr>
            <w:r>
              <w:t>≥99百分之</w:t>
            </w:r>
          </w:p>
        </w:tc>
        <w:tc>
          <w:tcPr>
            <w:tcW w:w="1276" w:type="dxa"/>
            <w:vAlign w:val="center"/>
          </w:tcPr>
          <w:p>
            <w:pPr>
              <w:pStyle w:val="14"/>
            </w:pPr>
            <w:r>
              <w:t>按需支出</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w:t>
            </w:r>
          </w:p>
        </w:tc>
        <w:tc>
          <w:tcPr>
            <w:tcW w:w="2268" w:type="dxa"/>
            <w:vAlign w:val="center"/>
          </w:tcPr>
          <w:p>
            <w:pPr>
              <w:pStyle w:val="14"/>
            </w:pPr>
            <w:r>
              <w:t>≥99百分之</w:t>
            </w:r>
          </w:p>
        </w:tc>
        <w:tc>
          <w:tcPr>
            <w:tcW w:w="1276" w:type="dxa"/>
            <w:vAlign w:val="center"/>
          </w:tcPr>
          <w:p>
            <w:pPr>
              <w:pStyle w:val="14"/>
            </w:pPr>
            <w:r>
              <w:t>按需支出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5、宣传费绩效目标表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13021925P00006510001G</w:t>
            </w:r>
          </w:p>
        </w:tc>
        <w:tc>
          <w:tcPr>
            <w:tcW w:w="2835" w:type="dxa"/>
            <w:vAlign w:val="center"/>
          </w:tcPr>
          <w:p>
            <w:pPr>
              <w:pStyle w:val="12"/>
            </w:pPr>
            <w:r>
              <w:t>项目名称</w:t>
            </w:r>
          </w:p>
        </w:tc>
        <w:tc>
          <w:tcPr>
            <w:tcW w:w="6095" w:type="dxa"/>
            <w:gridSpan w:val="3"/>
            <w:vAlign w:val="center"/>
          </w:tcPr>
          <w:p>
            <w:pPr>
              <w:pStyle w:val="14"/>
            </w:pPr>
            <w:r>
              <w:t>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加大党风廉政建设和反腐败斗争工作的宣传力度。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1.加大党风廉政建设和反腐败斗争工作的宣传力度。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采购合格率</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采购时间</w:t>
            </w:r>
          </w:p>
        </w:tc>
        <w:tc>
          <w:tcPr>
            <w:tcW w:w="5386" w:type="dxa"/>
            <w:vAlign w:val="center"/>
          </w:tcPr>
          <w:p>
            <w:pPr>
              <w:pStyle w:val="14"/>
            </w:pPr>
            <w:r>
              <w:t>12月底前完成采购</w:t>
            </w:r>
          </w:p>
        </w:tc>
        <w:tc>
          <w:tcPr>
            <w:tcW w:w="2268" w:type="dxa"/>
            <w:vAlign w:val="center"/>
          </w:tcPr>
          <w:p>
            <w:pPr>
              <w:pStyle w:val="14"/>
            </w:pPr>
            <w:r>
              <w:t>≤12月</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宣传品成本</w:t>
            </w:r>
          </w:p>
        </w:tc>
        <w:tc>
          <w:tcPr>
            <w:tcW w:w="5386" w:type="dxa"/>
            <w:vAlign w:val="center"/>
          </w:tcPr>
          <w:p>
            <w:pPr>
              <w:pStyle w:val="14"/>
            </w:pPr>
            <w:r>
              <w:t>完成3万元宣传品采购</w:t>
            </w:r>
          </w:p>
        </w:tc>
        <w:tc>
          <w:tcPr>
            <w:tcW w:w="2268" w:type="dxa"/>
            <w:vAlign w:val="center"/>
          </w:tcPr>
          <w:p>
            <w:pPr>
              <w:pStyle w:val="14"/>
            </w:pPr>
            <w:r>
              <w:t>≥2万元</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宣传品成本</w:t>
            </w:r>
          </w:p>
        </w:tc>
        <w:tc>
          <w:tcPr>
            <w:tcW w:w="5386" w:type="dxa"/>
            <w:vAlign w:val="center"/>
          </w:tcPr>
          <w:p>
            <w:pPr>
              <w:pStyle w:val="14"/>
            </w:pPr>
            <w:r>
              <w:t>完成3万元宣传品采购</w:t>
            </w:r>
          </w:p>
        </w:tc>
        <w:tc>
          <w:tcPr>
            <w:tcW w:w="2268" w:type="dxa"/>
            <w:vAlign w:val="center"/>
          </w:tcPr>
          <w:p>
            <w:pPr>
              <w:pStyle w:val="14"/>
            </w:pPr>
            <w:r>
              <w:t>≤3万元</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群众反响</w:t>
            </w:r>
          </w:p>
        </w:tc>
        <w:tc>
          <w:tcPr>
            <w:tcW w:w="5386" w:type="dxa"/>
            <w:vAlign w:val="center"/>
          </w:tcPr>
          <w:p>
            <w:pPr>
              <w:pStyle w:val="14"/>
            </w:pPr>
            <w:r>
              <w:t>构建良好政治生态，引起群众良好反响</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反腐工作态势</w:t>
            </w:r>
          </w:p>
        </w:tc>
        <w:tc>
          <w:tcPr>
            <w:tcW w:w="5386" w:type="dxa"/>
            <w:vAlign w:val="center"/>
          </w:tcPr>
          <w:p>
            <w:pPr>
              <w:pStyle w:val="14"/>
            </w:pPr>
            <w:r>
              <w:t>营造反腐浓厚宣传氛围，营造反腐败高压态势</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反腐败宣传力度</w:t>
            </w:r>
          </w:p>
        </w:tc>
        <w:tc>
          <w:tcPr>
            <w:tcW w:w="5386" w:type="dxa"/>
            <w:vAlign w:val="center"/>
          </w:tcPr>
          <w:p>
            <w:pPr>
              <w:pStyle w:val="14"/>
            </w:pPr>
            <w:r>
              <w:t>加大反腐败力度，增强全区反腐败意识</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反腐败宣传力度</w:t>
            </w:r>
          </w:p>
        </w:tc>
        <w:tc>
          <w:tcPr>
            <w:tcW w:w="5386" w:type="dxa"/>
            <w:vAlign w:val="center"/>
          </w:tcPr>
          <w:p>
            <w:pPr>
              <w:pStyle w:val="14"/>
            </w:pPr>
            <w:r>
              <w:t>加大反腐败力度，增强全区反腐败意识</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w:t>
            </w:r>
          </w:p>
        </w:tc>
        <w:tc>
          <w:tcPr>
            <w:tcW w:w="2268" w:type="dxa"/>
            <w:vAlign w:val="center"/>
          </w:tcPr>
          <w:p>
            <w:pPr>
              <w:pStyle w:val="14"/>
            </w:pPr>
            <w:r>
              <w:t>≥99百分之</w:t>
            </w:r>
          </w:p>
        </w:tc>
        <w:tc>
          <w:tcPr>
            <w:tcW w:w="1276" w:type="dxa"/>
            <w:vAlign w:val="center"/>
          </w:tcPr>
          <w:p>
            <w:pPr>
              <w:pStyle w:val="14"/>
            </w:pPr>
            <w:r>
              <w:t>按需支出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6、业务学习费绩效目标表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13021925P00021210001T</w:t>
            </w:r>
          </w:p>
        </w:tc>
        <w:tc>
          <w:tcPr>
            <w:tcW w:w="2835" w:type="dxa"/>
            <w:vAlign w:val="center"/>
          </w:tcPr>
          <w:p>
            <w:pPr>
              <w:pStyle w:val="12"/>
            </w:pPr>
            <w:r>
              <w:t>项目名称</w:t>
            </w:r>
          </w:p>
        </w:tc>
        <w:tc>
          <w:tcPr>
            <w:tcW w:w="6095" w:type="dxa"/>
            <w:gridSpan w:val="3"/>
            <w:vAlign w:val="center"/>
          </w:tcPr>
          <w:p>
            <w:pPr>
              <w:pStyle w:val="14"/>
            </w:pPr>
            <w:r>
              <w:t>业务学习费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w:t>
            </w:r>
          </w:p>
        </w:tc>
        <w:tc>
          <w:tcPr>
            <w:tcW w:w="2835" w:type="dxa"/>
            <w:vAlign w:val="center"/>
          </w:tcPr>
          <w:p>
            <w:pPr>
              <w:pStyle w:val="12"/>
            </w:pPr>
            <w:r>
              <w:t>其中：财政    资金</w:t>
            </w:r>
          </w:p>
        </w:tc>
        <w:tc>
          <w:tcPr>
            <w:tcW w:w="2551" w:type="dxa"/>
            <w:vAlign w:val="center"/>
          </w:tcPr>
          <w:p>
            <w:pPr>
              <w:pStyle w:val="14"/>
            </w:pPr>
            <w:r>
              <w:t>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用于纪检监察专业培训学习和业务技能培训，用于外出学习等的学习费用及发生的差旅费等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13%</w:t>
            </w:r>
          </w:p>
        </w:tc>
        <w:tc>
          <w:tcPr>
            <w:tcW w:w="2835" w:type="dxa"/>
            <w:vAlign w:val="center"/>
          </w:tcPr>
          <w:p>
            <w:pPr>
              <w:pStyle w:val="15"/>
            </w:pPr>
            <w:r>
              <w:t>50%</w:t>
            </w:r>
          </w:p>
        </w:tc>
        <w:tc>
          <w:tcPr>
            <w:tcW w:w="2551" w:type="dxa"/>
            <w:vAlign w:val="center"/>
          </w:tcPr>
          <w:p>
            <w:pPr>
              <w:pStyle w:val="15"/>
            </w:pPr>
            <w:r>
              <w:t>63%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1.用于纪检监察专业培训学习和业务技能培训，用于外出学习等的学习费用及发生的差旅费等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外出学习3次以上</w:t>
            </w:r>
          </w:p>
        </w:tc>
        <w:tc>
          <w:tcPr>
            <w:tcW w:w="5386" w:type="dxa"/>
            <w:vAlign w:val="center"/>
          </w:tcPr>
          <w:p>
            <w:pPr>
              <w:pStyle w:val="14"/>
            </w:pPr>
            <w:r>
              <w:t>≥3次</w:t>
            </w:r>
          </w:p>
        </w:tc>
        <w:tc>
          <w:tcPr>
            <w:tcW w:w="2268" w:type="dxa"/>
            <w:vAlign w:val="center"/>
          </w:tcPr>
          <w:p>
            <w:pPr>
              <w:pStyle w:val="14"/>
            </w:pPr>
            <w:r>
              <w:t>≥3次</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完成学习和业务技能培训</w:t>
            </w:r>
          </w:p>
        </w:tc>
        <w:tc>
          <w:tcPr>
            <w:tcW w:w="5386" w:type="dxa"/>
            <w:vAlign w:val="center"/>
          </w:tcPr>
          <w:p>
            <w:pPr>
              <w:pStyle w:val="14"/>
            </w:pPr>
            <w:r>
              <w:t>≥99%</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12月底前完成</w:t>
            </w:r>
          </w:p>
        </w:tc>
        <w:tc>
          <w:tcPr>
            <w:tcW w:w="5386" w:type="dxa"/>
            <w:vAlign w:val="center"/>
          </w:tcPr>
          <w:p>
            <w:pPr>
              <w:pStyle w:val="14"/>
            </w:pPr>
            <w:r>
              <w:t>≤12月底</w:t>
            </w:r>
          </w:p>
        </w:tc>
        <w:tc>
          <w:tcPr>
            <w:tcW w:w="2268" w:type="dxa"/>
            <w:vAlign w:val="center"/>
          </w:tcPr>
          <w:p>
            <w:pPr>
              <w:pStyle w:val="14"/>
            </w:pPr>
            <w:r>
              <w:t>≤12月</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完成工作人员业务学习提升学习成本的支付</w:t>
            </w:r>
          </w:p>
        </w:tc>
        <w:tc>
          <w:tcPr>
            <w:tcW w:w="5386" w:type="dxa"/>
            <w:vAlign w:val="center"/>
          </w:tcPr>
          <w:p>
            <w:pPr>
              <w:pStyle w:val="14"/>
            </w:pPr>
            <w:r>
              <w:t>≥1.2万元，≤1.5万元</w:t>
            </w:r>
          </w:p>
        </w:tc>
        <w:tc>
          <w:tcPr>
            <w:tcW w:w="2268" w:type="dxa"/>
            <w:vAlign w:val="center"/>
          </w:tcPr>
          <w:p>
            <w:pPr>
              <w:pStyle w:val="14"/>
            </w:pPr>
            <w:r>
              <w:t>≤1.5万元</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人才培养</w:t>
            </w:r>
          </w:p>
        </w:tc>
        <w:tc>
          <w:tcPr>
            <w:tcW w:w="5386" w:type="dxa"/>
            <w:vAlign w:val="center"/>
          </w:tcPr>
          <w:p>
            <w:pPr>
              <w:pStyle w:val="14"/>
            </w:pPr>
            <w:r>
              <w:t>打造一支能力过硬的纪检监察铁军，培养人才</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群众信赖度</w:t>
            </w:r>
          </w:p>
        </w:tc>
        <w:tc>
          <w:tcPr>
            <w:tcW w:w="5386" w:type="dxa"/>
            <w:vAlign w:val="center"/>
          </w:tcPr>
          <w:p>
            <w:pPr>
              <w:pStyle w:val="14"/>
            </w:pPr>
            <w:r>
              <w:t>获得群众好评，群众信赖度100%</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能力素质</w:t>
            </w:r>
          </w:p>
        </w:tc>
        <w:tc>
          <w:tcPr>
            <w:tcW w:w="5386" w:type="dxa"/>
            <w:vAlign w:val="center"/>
          </w:tcPr>
          <w:p>
            <w:pPr>
              <w:pStyle w:val="14"/>
            </w:pPr>
            <w:r>
              <w:t>提升能力素质，更好用于实践工作</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能力素质</w:t>
            </w:r>
          </w:p>
        </w:tc>
        <w:tc>
          <w:tcPr>
            <w:tcW w:w="5386" w:type="dxa"/>
            <w:vAlign w:val="center"/>
          </w:tcPr>
          <w:p>
            <w:pPr>
              <w:pStyle w:val="14"/>
            </w:pPr>
            <w:r>
              <w:t>提升能力素质，更好用于实践工作</w:t>
            </w:r>
          </w:p>
        </w:tc>
        <w:tc>
          <w:tcPr>
            <w:tcW w:w="2268" w:type="dxa"/>
            <w:vAlign w:val="center"/>
          </w:tcPr>
          <w:p>
            <w:pPr>
              <w:pStyle w:val="14"/>
            </w:pPr>
            <w:r>
              <w:t>≥99百分之</w:t>
            </w:r>
          </w:p>
        </w:tc>
        <w:tc>
          <w:tcPr>
            <w:tcW w:w="1276" w:type="dxa"/>
            <w:vAlign w:val="center"/>
          </w:tcPr>
          <w:p>
            <w:pPr>
              <w:pStyle w:val="14"/>
            </w:pPr>
            <w:r>
              <w:t>按需支出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w:t>
            </w:r>
          </w:p>
        </w:tc>
        <w:tc>
          <w:tcPr>
            <w:tcW w:w="2268" w:type="dxa"/>
            <w:vAlign w:val="center"/>
          </w:tcPr>
          <w:p>
            <w:pPr>
              <w:pStyle w:val="14"/>
            </w:pPr>
            <w:r>
              <w:t>≥99百分之</w:t>
            </w:r>
          </w:p>
        </w:tc>
        <w:tc>
          <w:tcPr>
            <w:tcW w:w="1276" w:type="dxa"/>
            <w:vAlign w:val="center"/>
          </w:tcPr>
          <w:p>
            <w:pPr>
              <w:pStyle w:val="14"/>
            </w:pPr>
            <w:r>
              <w:t>按需支出</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121纪检监察工作委员会</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14.00</w:t>
            </w:r>
          </w:p>
        </w:tc>
        <w:tc>
          <w:tcPr>
            <w:tcW w:w="964" w:type="dxa"/>
            <w:vAlign w:val="center"/>
          </w:tcPr>
          <w:p>
            <w:pPr>
              <w:pStyle w:val="17"/>
            </w:pPr>
            <w:r>
              <w:t>14.00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6"/>
            </w:pPr>
            <w:r>
              <w:t>纪检监察工作委员会小计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14.00</w:t>
            </w:r>
          </w:p>
        </w:tc>
        <w:tc>
          <w:tcPr>
            <w:tcW w:w="964" w:type="dxa"/>
            <w:vAlign w:val="center"/>
          </w:tcPr>
          <w:p>
            <w:pPr>
              <w:pStyle w:val="17"/>
            </w:pPr>
            <w:r>
              <w:t>14.00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纪检监察费</w:t>
            </w:r>
          </w:p>
        </w:tc>
        <w:tc>
          <w:tcPr>
            <w:tcW w:w="964" w:type="dxa"/>
            <w:vAlign w:val="center"/>
          </w:tcPr>
          <w:p>
            <w:pPr>
              <w:pStyle w:val="13"/>
            </w:pPr>
            <w:r>
              <w:t>20.00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0.79</w:t>
            </w:r>
          </w:p>
        </w:tc>
        <w:tc>
          <w:tcPr>
            <w:tcW w:w="964" w:type="dxa"/>
            <w:vAlign w:val="center"/>
          </w:tcPr>
          <w:p>
            <w:pPr>
              <w:pStyle w:val="13"/>
            </w:pPr>
            <w:r>
              <w:t>2.37</w:t>
            </w:r>
          </w:p>
        </w:tc>
        <w:tc>
          <w:tcPr>
            <w:tcW w:w="964" w:type="dxa"/>
            <w:vAlign w:val="center"/>
          </w:tcPr>
          <w:p>
            <w:pPr>
              <w:pStyle w:val="13"/>
            </w:pPr>
            <w:r>
              <w:t>2.37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纪检监察费</w:t>
            </w:r>
          </w:p>
        </w:tc>
        <w:tc>
          <w:tcPr>
            <w:tcW w:w="964" w:type="dxa"/>
            <w:vAlign w:val="center"/>
          </w:tcPr>
          <w:p>
            <w:pPr>
              <w:pStyle w:val="13"/>
            </w:pPr>
            <w:r>
              <w:t>20.00</w:t>
            </w:r>
          </w:p>
        </w:tc>
        <w:tc>
          <w:tcPr>
            <w:tcW w:w="1134" w:type="dxa"/>
            <w:vAlign w:val="center"/>
          </w:tcPr>
          <w:p>
            <w:pPr>
              <w:pStyle w:val="14"/>
            </w:pPr>
            <w:r>
              <w:t>光纤转换器</w:t>
            </w:r>
          </w:p>
        </w:tc>
        <w:tc>
          <w:tcPr>
            <w:tcW w:w="1134" w:type="dxa"/>
            <w:vAlign w:val="center"/>
          </w:tcPr>
          <w:p>
            <w:pPr>
              <w:pStyle w:val="14"/>
            </w:pPr>
            <w:r>
              <w:t>A02010215</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0.08</w:t>
            </w:r>
          </w:p>
        </w:tc>
        <w:tc>
          <w:tcPr>
            <w:tcW w:w="964" w:type="dxa"/>
            <w:vAlign w:val="center"/>
          </w:tcPr>
          <w:p>
            <w:pPr>
              <w:pStyle w:val="13"/>
            </w:pPr>
            <w:r>
              <w:t>0.24</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纪检监察费</w:t>
            </w:r>
          </w:p>
        </w:tc>
        <w:tc>
          <w:tcPr>
            <w:tcW w:w="964" w:type="dxa"/>
            <w:vAlign w:val="center"/>
          </w:tcPr>
          <w:p>
            <w:pPr>
              <w:pStyle w:val="13"/>
            </w:pPr>
            <w:r>
              <w:t>20.00</w:t>
            </w:r>
          </w:p>
        </w:tc>
        <w:tc>
          <w:tcPr>
            <w:tcW w:w="1134" w:type="dxa"/>
            <w:vAlign w:val="center"/>
          </w:tcPr>
          <w:p>
            <w:pPr>
              <w:pStyle w:val="14"/>
            </w:pPr>
            <w:r>
              <w:t>其他终端设备</w:t>
            </w:r>
          </w:p>
        </w:tc>
        <w:tc>
          <w:tcPr>
            <w:tcW w:w="1134" w:type="dxa"/>
            <w:vAlign w:val="center"/>
          </w:tcPr>
          <w:p>
            <w:pPr>
              <w:pStyle w:val="14"/>
            </w:pPr>
            <w:r>
              <w:t>A02010499</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0.43</w:t>
            </w:r>
          </w:p>
        </w:tc>
        <w:tc>
          <w:tcPr>
            <w:tcW w:w="964" w:type="dxa"/>
            <w:vAlign w:val="center"/>
          </w:tcPr>
          <w:p>
            <w:pPr>
              <w:pStyle w:val="13"/>
            </w:pPr>
            <w:r>
              <w:t>1.29</w:t>
            </w:r>
          </w:p>
        </w:tc>
        <w:tc>
          <w:tcPr>
            <w:tcW w:w="964" w:type="dxa"/>
            <w:vAlign w:val="center"/>
          </w:tcPr>
          <w:p>
            <w:pPr>
              <w:pStyle w:val="13"/>
            </w:pPr>
            <w:r>
              <w:t>1.29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纪检监察费</w:t>
            </w:r>
          </w:p>
        </w:tc>
        <w:tc>
          <w:tcPr>
            <w:tcW w:w="964" w:type="dxa"/>
            <w:vAlign w:val="center"/>
          </w:tcPr>
          <w:p>
            <w:pPr>
              <w:pStyle w:val="13"/>
            </w:pPr>
            <w:r>
              <w:t>20.00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0.80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纪检监察费</w:t>
            </w:r>
          </w:p>
        </w:tc>
        <w:tc>
          <w:tcPr>
            <w:tcW w:w="964" w:type="dxa"/>
            <w:vAlign w:val="center"/>
          </w:tcPr>
          <w:p>
            <w:pPr>
              <w:pStyle w:val="13"/>
            </w:pPr>
            <w:r>
              <w:t>20.00</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0.65</w:t>
            </w:r>
          </w:p>
        </w:tc>
        <w:tc>
          <w:tcPr>
            <w:tcW w:w="964" w:type="dxa"/>
            <w:vAlign w:val="center"/>
          </w:tcPr>
          <w:p>
            <w:pPr>
              <w:pStyle w:val="13"/>
            </w:pPr>
            <w:r>
              <w:t>1.95</w:t>
            </w:r>
          </w:p>
        </w:tc>
        <w:tc>
          <w:tcPr>
            <w:tcW w:w="964" w:type="dxa"/>
            <w:vAlign w:val="center"/>
          </w:tcPr>
          <w:p>
            <w:pPr>
              <w:pStyle w:val="13"/>
            </w:pPr>
            <w:r>
              <w:t>1.95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纪检监察费</w:t>
            </w:r>
          </w:p>
        </w:tc>
        <w:tc>
          <w:tcPr>
            <w:tcW w:w="964" w:type="dxa"/>
            <w:vAlign w:val="center"/>
          </w:tcPr>
          <w:p>
            <w:pPr>
              <w:pStyle w:val="13"/>
            </w:pPr>
            <w:r>
              <w:t>20.00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5.75</w:t>
            </w:r>
          </w:p>
        </w:tc>
        <w:tc>
          <w:tcPr>
            <w:tcW w:w="964" w:type="dxa"/>
            <w:vAlign w:val="center"/>
          </w:tcPr>
          <w:p>
            <w:pPr>
              <w:pStyle w:val="13"/>
            </w:pPr>
            <w:r>
              <w:t>5.75</w:t>
            </w:r>
          </w:p>
        </w:tc>
        <w:tc>
          <w:tcPr>
            <w:tcW w:w="964" w:type="dxa"/>
            <w:vAlign w:val="center"/>
          </w:tcPr>
          <w:p>
            <w:pPr>
              <w:pStyle w:val="13"/>
            </w:pPr>
            <w:r>
              <w:t>5.75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纪检监察工作委员会（含所属单位）上年末固定资产金额为75.74万元（详见下表）。本年度拟购置固定资产总额为0.00万元，已按要求列入政府采购预算，详见政府采购预算表。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121纪检监察工作委员会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79</w:t>
            </w:r>
          </w:p>
        </w:tc>
        <w:tc>
          <w:tcPr>
            <w:tcW w:w="2835" w:type="dxa"/>
            <w:vAlign w:val="center"/>
          </w:tcPr>
          <w:p>
            <w:pPr>
              <w:pStyle w:val="13"/>
            </w:pPr>
            <w:r>
              <w:t>75.74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847BC"/>
    <w:multiLevelType w:val="singleLevel"/>
    <w:tmpl w:val="1ED847BC"/>
    <w:lvl w:ilvl="0" w:tentative="0">
      <w:start w:val="6"/>
      <w:numFmt w:val="chineseCounting"/>
      <w:suff w:val="nothing"/>
      <w:lvlText w:val="%1、"/>
      <w:lvlJc w:val="left"/>
      <w:rPr>
        <w:rFonts w:hint="eastAsia"/>
      </w:rPr>
    </w:lvl>
  </w:abstractNum>
  <w:abstractNum w:abstractNumId="1">
    <w:nsid w:val="7287011C"/>
    <w:multiLevelType w:val="singleLevel"/>
    <w:tmpl w:val="7287011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516E8"/>
    <w:rsid w:val="18C7471E"/>
    <w:rsid w:val="3B77747E"/>
    <w:rsid w:val="406217C5"/>
    <w:rsid w:val="51AE425E"/>
    <w:rsid w:val="68D93AC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paragraph" w:styleId="5">
    <w:name w:val="Normal (Web)"/>
    <w:basedOn w:val="1"/>
    <w:semiHidden/>
    <w:unhideWhenUsed/>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ScaleCrop>false</ScaleCrop>
  <LinksUpToDate>false</LinksUpToDate>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2025-02-20T15:40:00Z</dcterms:created>
  <dc:creator>Administrator</dc:creator>
  <cp:lastModifiedBy>Administrator</cp:lastModifiedBy>
  <dcterms:modified xsi:type="dcterms:W3CDTF">2025-02-21T01:16:25Z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