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0" w:lineRule="exact"/>
        <w:jc w:val="center"/>
        <w:rPr>
          <w:rFonts w:cs="宋体" w:asciiTheme="majorEastAsia" w:hAnsiTheme="majorEastAsia" w:eastAsiaTheme="majorEastAsia"/>
          <w:b/>
          <w:bCs/>
          <w:color w:val="000000" w:themeColor="text1"/>
          <w:kern w:val="0"/>
          <w:sz w:val="44"/>
          <w:szCs w:val="44"/>
        </w:rPr>
      </w:pPr>
      <w:r>
        <w:rPr>
          <w:rFonts w:hint="eastAsia" w:cs="宋体" w:asciiTheme="majorEastAsia" w:hAnsiTheme="majorEastAsia" w:eastAsiaTheme="majorEastAsia"/>
          <w:b/>
          <w:bCs/>
          <w:color w:val="000000" w:themeColor="text1"/>
          <w:kern w:val="0"/>
          <w:sz w:val="44"/>
          <w:szCs w:val="44"/>
        </w:rPr>
        <w:t>地质灾害危险性评估项目支出绩效评价报告</w:t>
      </w:r>
    </w:p>
    <w:p>
      <w:pPr>
        <w:widowControl/>
        <w:spacing w:line="570" w:lineRule="exact"/>
        <w:jc w:val="center"/>
        <w:rPr>
          <w:rFonts w:ascii="仿宋" w:hAnsi="仿宋" w:eastAsia="仿宋" w:cs="宋体"/>
          <w:b/>
          <w:bCs/>
          <w:color w:val="000000" w:themeColor="text1"/>
          <w:kern w:val="0"/>
          <w:sz w:val="32"/>
          <w:szCs w:val="32"/>
        </w:rPr>
      </w:pP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一、基本情况</w:t>
      </w:r>
    </w:p>
    <w:p>
      <w:pPr>
        <w:pStyle w:val="4"/>
        <w:shd w:val="clear" w:color="auto" w:fill="FFFFFF"/>
        <w:spacing w:before="0" w:beforeAutospacing="0" w:after="0" w:afterAutospacing="0" w:line="570" w:lineRule="exact"/>
        <w:ind w:firstLine="640" w:firstLineChars="200"/>
        <w:jc w:val="both"/>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（一）项目概况。</w:t>
      </w:r>
      <w:r>
        <w:rPr>
          <w:rFonts w:ascii="仿宋_GB2312" w:hAnsi="仿宋" w:eastAsia="仿宋_GB2312" w:cs="方正仿宋简体"/>
          <w:color w:val="000000" w:themeColor="text1"/>
          <w:sz w:val="32"/>
          <w:szCs w:val="32"/>
        </w:rPr>
        <w:t>通过地质灾害危险性评估，确定地质灾害活动参数，圈定地质灾害危害范围，划分危害强度，编制地质灾害危险性分区图。其目的是为评估地质灾害破坏损失程度以及规划、部署、实施地质灾害防治工作提供科学依据</w:t>
      </w:r>
      <w:r>
        <w:rPr>
          <w:rFonts w:hint="eastAsia" w:ascii="仿宋_GB2312" w:hAnsi="仿宋" w:eastAsia="仿宋_GB2312" w:cs="方正仿宋简体"/>
          <w:color w:val="000000" w:themeColor="text1"/>
          <w:sz w:val="32"/>
          <w:szCs w:val="32"/>
        </w:rPr>
        <w:t>，并对测量结果出具</w:t>
      </w:r>
      <w:r>
        <w:rPr>
          <w:rFonts w:ascii="仿宋_GB2312" w:hAnsi="仿宋" w:eastAsia="仿宋_GB2312" w:cs="方正仿宋简体"/>
          <w:color w:val="000000" w:themeColor="text1"/>
          <w:sz w:val="32"/>
          <w:szCs w:val="32"/>
        </w:rPr>
        <w:t>地质灾害危险性评估</w:t>
      </w:r>
      <w:r>
        <w:rPr>
          <w:rFonts w:hint="eastAsia" w:ascii="仿宋_GB2312" w:hAnsi="仿宋" w:eastAsia="仿宋_GB2312" w:cs="方正仿宋简体"/>
          <w:color w:val="000000" w:themeColor="text1"/>
          <w:sz w:val="32"/>
          <w:szCs w:val="32"/>
        </w:rPr>
        <w:t>报告。</w:t>
      </w:r>
    </w:p>
    <w:p>
      <w:pPr>
        <w:pStyle w:val="4"/>
        <w:shd w:val="clear" w:color="auto" w:fill="FFFFFF"/>
        <w:spacing w:before="0" w:beforeAutospacing="0" w:after="0" w:afterAutospacing="0" w:line="570" w:lineRule="exact"/>
        <w:ind w:firstLine="640" w:firstLineChars="200"/>
        <w:jc w:val="both"/>
        <w:rPr>
          <w:rFonts w:ascii="仿宋_GB2312" w:hAnsi="仿宋" w:eastAsia="仿宋_GB2312" w:cs="方正仿宋简体"/>
          <w:color w:val="auto"/>
          <w:sz w:val="32"/>
          <w:szCs w:val="32"/>
        </w:rPr>
      </w:pPr>
      <w:r>
        <w:rPr>
          <w:rFonts w:hint="eastAsia" w:ascii="仿宋_GB2312" w:hAnsi="仿宋" w:eastAsia="仿宋_GB2312" w:cs="方正仿宋简体"/>
          <w:color w:val="000000" w:themeColor="text1"/>
          <w:sz w:val="32"/>
          <w:szCs w:val="32"/>
        </w:rPr>
        <w:t>2021年度</w:t>
      </w:r>
      <w:r>
        <w:rPr>
          <w:rFonts w:ascii="仿宋_GB2312" w:hAnsi="仿宋" w:eastAsia="仿宋_GB2312" w:cs="方正仿宋简体"/>
          <w:color w:val="000000" w:themeColor="text1"/>
          <w:sz w:val="32"/>
          <w:szCs w:val="32"/>
        </w:rPr>
        <w:t>地质灾害危险性评估</w:t>
      </w:r>
      <w:r>
        <w:rPr>
          <w:rFonts w:hint="eastAsia" w:ascii="仿宋_GB2312" w:hAnsi="仿宋" w:eastAsia="仿宋_GB2312" w:cs="方正仿宋简体"/>
          <w:color w:val="000000" w:themeColor="text1"/>
          <w:sz w:val="32"/>
          <w:szCs w:val="32"/>
        </w:rPr>
        <w:t>专项资金来源为财政拨款，</w:t>
      </w:r>
      <w:r>
        <w:rPr>
          <w:rFonts w:hint="eastAsia" w:ascii="仿宋_GB2312" w:hAnsi="仿宋" w:eastAsia="仿宋_GB2312" w:cs="方正仿宋简体"/>
          <w:color w:val="auto"/>
          <w:sz w:val="32"/>
          <w:szCs w:val="32"/>
        </w:rPr>
        <w:t>安排预算</w:t>
      </w:r>
      <w:r>
        <w:rPr>
          <w:rFonts w:hint="eastAsia" w:ascii="仿宋_GB2312" w:hAnsi="仿宋" w:eastAsia="仿宋_GB2312" w:cs="方正仿宋简体"/>
          <w:color w:val="auto"/>
          <w:sz w:val="32"/>
          <w:szCs w:val="32"/>
          <w:lang w:val="en-US" w:eastAsia="zh-CN"/>
        </w:rPr>
        <w:t>33</w:t>
      </w:r>
      <w:r>
        <w:rPr>
          <w:rFonts w:hint="eastAsia" w:ascii="仿宋_GB2312" w:hAnsi="仿宋" w:eastAsia="仿宋_GB2312" w:cs="方正仿宋简体"/>
          <w:color w:val="auto"/>
          <w:sz w:val="32"/>
          <w:szCs w:val="32"/>
        </w:rPr>
        <w:t>万元</w:t>
      </w:r>
      <w:r>
        <w:rPr>
          <w:rFonts w:hint="eastAsia" w:ascii="仿宋_GB2312" w:hAnsi="仿宋" w:eastAsia="仿宋_GB2312" w:cs="方正仿宋简体"/>
          <w:color w:val="auto"/>
          <w:sz w:val="32"/>
          <w:szCs w:val="32"/>
          <w:lang w:eastAsia="zh-CN"/>
        </w:rPr>
        <w:t>，</w:t>
      </w:r>
      <w:r>
        <w:rPr>
          <w:rFonts w:hint="eastAsia" w:ascii="仿宋_GB2312" w:hAnsi="仿宋" w:eastAsia="仿宋_GB2312"/>
          <w:color w:val="auto"/>
          <w:sz w:val="32"/>
          <w:szCs w:val="32"/>
        </w:rPr>
        <w:t>主要用于</w:t>
      </w:r>
      <w:r>
        <w:rPr>
          <w:rFonts w:hint="eastAsia" w:ascii="仿宋_GB2312" w:hAnsi="仿宋" w:eastAsia="仿宋_GB2312" w:cs="方正仿宋简体"/>
          <w:color w:val="auto"/>
          <w:sz w:val="32"/>
          <w:szCs w:val="32"/>
        </w:rPr>
        <w:t>土地出让。2021年共8个项目，出让202101-202108号地块项目。</w:t>
      </w:r>
    </w:p>
    <w:p>
      <w:pPr>
        <w:pStyle w:val="4"/>
        <w:shd w:val="clear" w:color="auto" w:fill="FFFFFF"/>
        <w:spacing w:before="0" w:beforeAutospacing="0" w:after="0" w:afterAutospacing="0" w:line="570" w:lineRule="exact"/>
        <w:ind w:firstLine="640" w:firstLineChars="200"/>
        <w:jc w:val="both"/>
        <w:rPr>
          <w:rFonts w:ascii="仿宋_GB2312" w:hAnsi="仿宋" w:eastAsia="仿宋_GB2312" w:cs="方正仿宋简体"/>
          <w:color w:val="auto"/>
          <w:sz w:val="32"/>
          <w:szCs w:val="32"/>
        </w:rPr>
      </w:pPr>
      <w:r>
        <w:rPr>
          <w:rFonts w:hint="eastAsia" w:ascii="仿宋_GB2312" w:hAnsi="仿宋" w:eastAsia="仿宋_GB2312" w:cs="方正仿宋简体"/>
          <w:color w:val="auto"/>
          <w:sz w:val="32"/>
          <w:szCs w:val="32"/>
        </w:rPr>
        <w:t>项目严格按照财政专项资金的审批拨付制度，坚持专款专用，量入为出的原则，保证了自然资源各项工作的正常开展。</w:t>
      </w:r>
    </w:p>
    <w:p>
      <w:pPr>
        <w:spacing w:line="57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（二）项目绩效目标</w:t>
      </w:r>
      <w:bookmarkStart w:id="0" w:name="_GoBack"/>
      <w:bookmarkEnd w:id="0"/>
      <w:r>
        <w:rPr>
          <w:rFonts w:hint="eastAsia" w:ascii="仿宋_GB2312" w:hAnsi="仿宋" w:eastAsia="仿宋_GB2312"/>
          <w:color w:val="auto"/>
          <w:sz w:val="32"/>
          <w:szCs w:val="32"/>
        </w:rPr>
        <w:t>。</w:t>
      </w:r>
    </w:p>
    <w:p>
      <w:pPr>
        <w:spacing w:line="57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1、总体目标</w:t>
      </w:r>
    </w:p>
    <w:p>
      <w:pPr>
        <w:widowControl/>
        <w:spacing w:line="570" w:lineRule="exact"/>
        <w:ind w:firstLine="640" w:firstLineChars="200"/>
        <w:rPr>
          <w:rFonts w:ascii="仿宋_GB2312" w:hAnsi="仿宋" w:eastAsia="仿宋_GB2312" w:cs="宋体"/>
          <w:color w:val="auto"/>
          <w:kern w:val="0"/>
          <w:sz w:val="32"/>
          <w:szCs w:val="32"/>
        </w:rPr>
      </w:pPr>
      <w:r>
        <w:rPr>
          <w:rFonts w:hint="eastAsia" w:ascii="仿宋_GB2312" w:hAnsi="仿宋" w:eastAsia="仿宋_GB2312"/>
          <w:color w:val="auto"/>
          <w:sz w:val="32"/>
          <w:szCs w:val="32"/>
        </w:rPr>
        <w:t>预计出让土地约2000亩。</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2、阶段性目标</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s="宋体"/>
          <w:color w:val="000000" w:themeColor="text1"/>
          <w:kern w:val="0"/>
          <w:sz w:val="32"/>
          <w:szCs w:val="32"/>
        </w:rPr>
        <w:t>出让土地1002.34亩。</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二、绩效评价工作开展情况</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（一）绩效评价目的、对象和范围。</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1、评价目的。</w:t>
      </w:r>
      <w:r>
        <w:rPr>
          <w:rFonts w:ascii="仿宋_GB2312" w:hAnsi="仿宋" w:eastAsia="仿宋_GB2312"/>
          <w:color w:val="000000" w:themeColor="text1"/>
          <w:sz w:val="32"/>
          <w:szCs w:val="32"/>
        </w:rPr>
        <w:t>为评估地质灾害破坏损失程度以及规划、部署、实施地质灾害防治工作提供科学依据。</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2、评价对象和范围。本次评价对象为：采购“地质灾害危险性评估项目”作业单位的经费。评价范围是项目决策：包括立项程序、绩效目标设定情况；项目过程：包括预算安排、资金支付管理、项目实施情况；项目产出：包括项目产出数量、质量；项目效益：项目带来的社会效益，以及影响力和相关方的满意度。</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（二）绩效评价原则、评价指标体系、评价方法、评价标准等。</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应遵循全面覆盖、程序简便、客观公正、公开透明的原则。按照设定的指标体系，单位中层以上干部参与评价，并从各科室抽选人员进行打分，由项目负责人进行梳理并整改。</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（三）绩效评价工作过程。</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1.前期准备：成立部门绩效评价小组，学习评价指标体系和绩效相关文件通知。</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2.组织实施：按照规定的工作程序组织绩效评价自评，注重评价质量，撰写绩效评价报告。</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3.分析评价：对照年初制定的绩效指标认真开展分析，看是否完成年初预定任务，看社会公众是否满意。</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三、综合评价情况及评价结论</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通过本次财政项目支出绩效评价，全面反映土地出让地质灾害危险性评估项目实际执行情况和取得的实际成效，遵循“科学公正、统筹兼顾、激励约束、公开透明”的基本原则实施，查找实际执行与计划目标的差异及原因，提出相关科学合理的整改建议，促进旅游岛自然资源和规划分局强化绩效意识、强化项目实施的目标管理和过程控制，建立绩效管理机制。</w:t>
      </w:r>
    </w:p>
    <w:p>
      <w:pPr>
        <w:spacing w:line="570" w:lineRule="exact"/>
        <w:ind w:firstLine="640" w:firstLineChars="200"/>
        <w:rPr>
          <w:rFonts w:ascii="仿宋_GB2312" w:hAnsi="仿宋" w:eastAsia="仿宋_GB2312"/>
          <w:color w:val="auto"/>
          <w:sz w:val="32"/>
          <w:szCs w:val="32"/>
        </w:rPr>
      </w:pPr>
      <w:r>
        <w:rPr>
          <w:rFonts w:hint="eastAsia" w:ascii="仿宋_GB2312" w:hAnsi="仿宋" w:eastAsia="仿宋_GB2312"/>
          <w:color w:val="000000" w:themeColor="text1"/>
          <w:sz w:val="32"/>
          <w:szCs w:val="32"/>
        </w:rPr>
        <w:t>本项目纳入财政资金预算绩效管理，根据《唐山国际旅游岛项目支出绩效自评管理办法》绩效评价指标体系、评分标准，经我单位认真对2021年度地质灾害危险性评估项目进行客观评价，项目</w:t>
      </w:r>
      <w:r>
        <w:rPr>
          <w:rFonts w:hint="eastAsia" w:ascii="仿宋_GB2312" w:hAnsi="仿宋" w:eastAsia="仿宋_GB2312"/>
          <w:color w:val="auto"/>
          <w:sz w:val="32"/>
          <w:szCs w:val="32"/>
        </w:rPr>
        <w:t>最终得分为</w:t>
      </w:r>
      <w:r>
        <w:rPr>
          <w:rFonts w:hint="eastAsia" w:ascii="仿宋_GB2312" w:hAnsi="仿宋" w:eastAsia="仿宋_GB2312"/>
          <w:color w:val="auto"/>
          <w:sz w:val="32"/>
          <w:szCs w:val="32"/>
          <w:lang w:val="en-US" w:eastAsia="zh-CN"/>
        </w:rPr>
        <w:t>80</w:t>
      </w:r>
      <w:r>
        <w:rPr>
          <w:rFonts w:hint="eastAsia" w:ascii="仿宋_GB2312" w:hAnsi="仿宋" w:eastAsia="仿宋_GB2312"/>
          <w:color w:val="auto"/>
          <w:sz w:val="32"/>
          <w:szCs w:val="32"/>
        </w:rPr>
        <w:t>分。</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四、绩效评价指标分析</w:t>
      </w:r>
    </w:p>
    <w:p>
      <w:pPr>
        <w:spacing w:line="570" w:lineRule="exact"/>
        <w:ind w:firstLine="640" w:firstLineChars="200"/>
        <w:outlineLvl w:val="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（一）项目决策情况。按照区财政政策要求施行。</w:t>
      </w:r>
    </w:p>
    <w:p>
      <w:pPr>
        <w:spacing w:line="570" w:lineRule="exact"/>
        <w:ind w:firstLine="640" w:firstLineChars="200"/>
        <w:outlineLvl w:val="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（二）项目过程情况。该项目资金主要用于土地出让地质灾害危险性评估。</w:t>
      </w:r>
    </w:p>
    <w:p>
      <w:pPr>
        <w:spacing w:line="570" w:lineRule="exact"/>
        <w:ind w:firstLine="640" w:firstLineChars="200"/>
        <w:outlineLvl w:val="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（三）项目产出情况。加强土地管理，节约集约开发利用土地。</w:t>
      </w:r>
    </w:p>
    <w:p>
      <w:pPr>
        <w:spacing w:line="570" w:lineRule="exact"/>
        <w:ind w:firstLine="640" w:firstLineChars="200"/>
        <w:outlineLvl w:val="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（四）项目效益情况。主要用于地方城市建设、改善城市环境、加快城市基础设施建设、推进土地市场建设等。</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五、主要经验及做法、存在的问题及原因分析</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项目年初预算主要根据经验估计的亩数，以及亩均指标单价套算来确定的，故无法细化到具体地块以及项目，所以年初预算申请和年中预算调整时会与实际执行情况出现偏差。</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六、有关建议</w:t>
      </w:r>
    </w:p>
    <w:p>
      <w:pPr>
        <w:spacing w:line="57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建议项目单位进一步加强前期的预算管理，预算编制是开展工作的起点和关键，项目单位需要科学合理的编制预算，确保预算编制科学化、精细化。</w:t>
      </w:r>
    </w:p>
    <w:p>
      <w:pPr>
        <w:spacing w:line="570" w:lineRule="exact"/>
        <w:rPr>
          <w:rFonts w:ascii="仿宋" w:hAnsi="仿宋" w:eastAsia="仿宋"/>
          <w:color w:val="000000" w:themeColor="text1"/>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p>
      <w:pPr>
        <w:spacing w:line="570" w:lineRule="exact"/>
        <w:rPr>
          <w:rFonts w:ascii="仿宋" w:hAnsi="仿宋" w:eastAsia="仿宋"/>
          <w:color w:val="FF0000"/>
          <w:sz w:val="32"/>
          <w:szCs w:val="32"/>
        </w:rPr>
      </w:pP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12"/>
        <w:gridCol w:w="497"/>
        <w:gridCol w:w="212"/>
        <w:gridCol w:w="63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color w:val="000000" w:themeColor="text1"/>
                <w:kern w:val="0"/>
                <w:sz w:val="32"/>
                <w:szCs w:val="32"/>
              </w:rPr>
            </w:pPr>
            <w:r>
              <w:rPr>
                <w:rFonts w:hint="eastAsia" w:ascii="宋体" w:hAnsi="宋体" w:cs="宋体"/>
                <w:b/>
                <w:bCs/>
                <w:color w:val="000000" w:themeColor="text1"/>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color w:val="000000" w:themeColor="text1"/>
                <w:kern w:val="0"/>
                <w:sz w:val="22"/>
                <w:szCs w:val="22"/>
              </w:rPr>
            </w:pPr>
            <w:r>
              <w:rPr>
                <w:rFonts w:hint="eastAsia" w:ascii="宋体" w:hAnsi="宋体" w:cs="宋体"/>
                <w:color w:val="000000" w:themeColor="text1"/>
                <w:kern w:val="0"/>
                <w:sz w:val="22"/>
                <w:szCs w:val="22"/>
              </w:rPr>
              <w:t>（2021年度）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采购地质灾害危险性评估作业单位</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项目资金</w:t>
            </w:r>
            <w:r>
              <w:rPr>
                <w:rFonts w:hint="eastAsia" w:ascii="宋体" w:hAnsi="宋体" w:cs="宋体"/>
                <w:color w:val="000000" w:themeColor="text1"/>
                <w:kern w:val="0"/>
                <w:sz w:val="18"/>
                <w:szCs w:val="18"/>
              </w:rPr>
              <w:br w:type="textWrapping"/>
            </w:r>
            <w:r>
              <w:rPr>
                <w:rFonts w:hint="eastAsia" w:ascii="宋体" w:hAnsi="宋体" w:cs="宋体"/>
                <w:color w:val="000000" w:themeColor="text1"/>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预计出让土地约2000亩。</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出让土地1002.34亩。</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148" w:type="dxa"/>
            <w:gridSpan w:val="3"/>
            <w:tcBorders>
              <w:top w:val="single" w:color="auto" w:sz="4" w:space="0"/>
              <w:left w:val="nil"/>
              <w:right w:val="single" w:color="auto" w:sz="4" w:space="0"/>
            </w:tcBorders>
            <w:vAlign w:val="center"/>
          </w:tcPr>
          <w:p>
            <w:pPr>
              <w:widowControl/>
              <w:spacing w:line="240" w:lineRule="exact"/>
              <w:ind w:firstLine="180" w:firstLineChars="100"/>
              <w:jc w:val="left"/>
              <w:rPr>
                <w:rFonts w:ascii="宋体" w:hAnsi="宋体" w:cs="宋体"/>
                <w:color w:val="auto"/>
                <w:kern w:val="0"/>
                <w:sz w:val="18"/>
                <w:szCs w:val="18"/>
              </w:rPr>
            </w:pPr>
            <w:r>
              <w:rPr>
                <w:rFonts w:hint="eastAsia" w:ascii="宋体" w:hAnsi="宋体" w:cs="宋体"/>
                <w:color w:val="auto"/>
                <w:kern w:val="0"/>
                <w:sz w:val="18"/>
                <w:szCs w:val="18"/>
              </w:rPr>
              <w:t>出具地灾评估报告</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4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使用期限</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1年</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1年</w:t>
            </w:r>
          </w:p>
        </w:tc>
        <w:tc>
          <w:tcPr>
            <w:tcW w:w="4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9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成果</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33</w:t>
            </w:r>
            <w:r>
              <w:rPr>
                <w:rFonts w:hint="eastAsia" w:ascii="宋体" w:hAnsi="宋体" w:cs="宋体"/>
                <w:color w:val="auto"/>
                <w:kern w:val="0"/>
                <w:sz w:val="18"/>
                <w:szCs w:val="18"/>
              </w:rPr>
              <w:t>万</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cs="宋体" w:asciiTheme="minorEastAsia" w:hAnsiTheme="minorEastAsia" w:eastAsiaTheme="minorEastAsia"/>
                <w:color w:val="auto"/>
                <w:kern w:val="0"/>
                <w:sz w:val="13"/>
                <w:szCs w:val="13"/>
                <w:lang w:eastAsia="zh-CN"/>
              </w:rPr>
            </w:pPr>
            <w:r>
              <w:rPr>
                <w:rFonts w:hint="eastAsia" w:ascii="宋体" w:hAnsi="宋体" w:cs="宋体" w:eastAsiaTheme="minorEastAsia"/>
                <w:color w:val="auto"/>
                <w:kern w:val="0"/>
                <w:sz w:val="18"/>
                <w:szCs w:val="18"/>
                <w:lang w:val="en-US" w:eastAsia="zh-CN"/>
              </w:rPr>
              <w:t>0</w:t>
            </w:r>
          </w:p>
        </w:tc>
        <w:tc>
          <w:tcPr>
            <w:tcW w:w="4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0</w:t>
            </w:r>
          </w:p>
        </w:tc>
        <w:tc>
          <w:tcPr>
            <w:tcW w:w="1347" w:type="dxa"/>
            <w:gridSpan w:val="2"/>
            <w:tcBorders>
              <w:top w:val="single" w:color="auto" w:sz="4" w:space="0"/>
              <w:left w:val="nil"/>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项目年初预算主要根据经验估计的亩数，以及亩均指标单价套算来确定的，故无法细化到具体地块以及项目，所以年初预算申请和年中预算调整时会与实际执行情况出现偏差。</w:t>
            </w:r>
          </w:p>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年度任务</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保护耕地</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8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48" w:type="dxa"/>
            <w:gridSpan w:val="3"/>
            <w:tcBorders>
              <w:top w:val="single" w:color="auto" w:sz="4" w:space="0"/>
              <w:left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节约集约土地</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1347" w:type="dxa"/>
            <w:gridSpan w:val="2"/>
            <w:tcBorders>
              <w:top w:val="single" w:color="auto" w:sz="4" w:space="0"/>
              <w:left w:val="nil"/>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指标1：满意度</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709" w:type="dxa"/>
            <w:gridSpan w:val="2"/>
            <w:tcBorders>
              <w:top w:val="nil"/>
              <w:left w:val="nil"/>
              <w:bottom w:val="single" w:color="auto" w:sz="4" w:space="0"/>
              <w:right w:val="single" w:color="auto" w:sz="4" w:space="0"/>
            </w:tcBorders>
            <w:vAlign w:val="center"/>
          </w:tcPr>
          <w:p>
            <w:pPr>
              <w:widowControl/>
              <w:spacing w:line="240" w:lineRule="exac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w:t>
            </w:r>
          </w:p>
        </w:tc>
        <w:tc>
          <w:tcPr>
            <w:tcW w:w="13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rPr>
          <w:color w:val="auto"/>
        </w:rPr>
      </w:pPr>
    </w:p>
    <w:p>
      <w:pPr>
        <w:rPr>
          <w:color w:val="FF0000"/>
        </w:rPr>
      </w:pPr>
    </w:p>
    <w:sectPr>
      <w:pgSz w:w="12240" w:h="15840"/>
      <w:pgMar w:top="2098" w:right="1474" w:bottom="1928" w:left="1588"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47A46"/>
    <w:rsid w:val="002C40A3"/>
    <w:rsid w:val="00333080"/>
    <w:rsid w:val="00773307"/>
    <w:rsid w:val="007D4ACB"/>
    <w:rsid w:val="008276E9"/>
    <w:rsid w:val="00A37229"/>
    <w:rsid w:val="00C47A46"/>
    <w:rsid w:val="00CD4830"/>
    <w:rsid w:val="00ED36E0"/>
    <w:rsid w:val="00EF4A16"/>
    <w:rsid w:val="00F120FF"/>
    <w:rsid w:val="1F3E30D0"/>
    <w:rsid w:val="363F2537"/>
    <w:rsid w:val="689D2BC5"/>
    <w:rsid w:val="6B673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311</Words>
  <Characters>1775</Characters>
  <Lines>14</Lines>
  <Paragraphs>4</Paragraphs>
  <TotalTime>28</TotalTime>
  <ScaleCrop>false</ScaleCrop>
  <LinksUpToDate>false</LinksUpToDate>
  <CharactersWithSpaces>2082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2022-02-21T07:02:00Z</dcterms:created>
  <dc:creator>微软用户</dc:creator>
  <cp:lastModifiedBy>Administrator</cp:lastModifiedBy>
  <dcterms:modified xsi:type="dcterms:W3CDTF">2022-03-14T02:33:59Z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34E21FD7A305417787246C0A8F71BDEB</vt:lpwstr>
  </property>
</Properties>
</file>