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0" w:lineRule="exact"/>
        <w:jc w:val="center"/>
        <w:rPr>
          <w:rFonts w:ascii="宋体" w:hAnsi="宋体" w:cs="宋体"/>
          <w:b/>
          <w:bCs/>
          <w:color w:val="auto"/>
          <w:kern w:val="0"/>
          <w:sz w:val="36"/>
          <w:szCs w:val="36"/>
        </w:rPr>
      </w:pPr>
      <w:r>
        <w:rPr>
          <w:rFonts w:hint="eastAsia" w:ascii="宋体" w:hAnsi="宋体" w:cs="宋体"/>
          <w:b/>
          <w:bCs/>
          <w:color w:val="auto"/>
          <w:kern w:val="0"/>
          <w:sz w:val="36"/>
          <w:szCs w:val="36"/>
          <w:lang w:val="en-US" w:eastAsia="zh-Hans"/>
        </w:rPr>
        <w:t>土壤污染状况调查</w:t>
      </w:r>
      <w:r>
        <w:rPr>
          <w:rFonts w:hint="eastAsia" w:ascii="宋体" w:hAnsi="宋体" w:cs="宋体"/>
          <w:b/>
          <w:bCs/>
          <w:color w:val="auto"/>
          <w:kern w:val="0"/>
          <w:sz w:val="36"/>
          <w:szCs w:val="36"/>
        </w:rPr>
        <w:t>项目支出绩效评价报告</w:t>
      </w:r>
    </w:p>
    <w:p>
      <w:pPr>
        <w:widowControl/>
        <w:spacing w:line="570" w:lineRule="exact"/>
        <w:jc w:val="center"/>
        <w:rPr>
          <w:rFonts w:ascii="宋体" w:hAnsi="宋体" w:cs="宋体"/>
          <w:b/>
          <w:bCs/>
          <w:color w:val="auto"/>
          <w:kern w:val="0"/>
          <w:sz w:val="32"/>
          <w:szCs w:val="32"/>
        </w:rPr>
      </w:pP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一、基本情况</w:t>
      </w:r>
    </w:p>
    <w:p>
      <w:pPr>
        <w:pStyle w:val="5"/>
        <w:shd w:val="clear" w:color="auto" w:fill="FFFFFF"/>
        <w:spacing w:before="0" w:beforeAutospacing="0" w:after="0" w:afterAutospacing="0" w:line="57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（一）项目概况。</w:t>
      </w:r>
      <w:r>
        <w:rPr>
          <w:rFonts w:hint="eastAsia" w:ascii="仿宋_GB2312" w:eastAsia="仿宋_GB2312"/>
          <w:color w:val="auto"/>
          <w:sz w:val="32"/>
          <w:szCs w:val="32"/>
          <w:lang w:val="en-US" w:eastAsia="zh-CN"/>
        </w:rPr>
        <w:t>按照《中华人民共和国土壤污染防治法》（2019年1月1日实施）要求：对土壤污染状况普查、详查和监测、现场检查表明有土壤污染风险的建设用地地块，地方人民政府生态环境主管部门应当要求土地使用权人按照规定进行土壤污染状况调查。用途变更为住宅、公共管理与公共服务用地的，变更前应当按照规</w:t>
      </w:r>
      <w:bookmarkStart w:id="0" w:name="_GoBack"/>
      <w:bookmarkEnd w:id="0"/>
      <w:r>
        <w:rPr>
          <w:rFonts w:hint="eastAsia" w:ascii="仿宋_GB2312" w:eastAsia="仿宋_GB2312"/>
          <w:color w:val="auto"/>
          <w:sz w:val="32"/>
          <w:szCs w:val="32"/>
          <w:lang w:val="en-US" w:eastAsia="zh-CN"/>
        </w:rPr>
        <w:t>定进行土壤污染状况调查。对土壤污染状况调查报告评审表明污染物含量超过土壤污染风险管控标准的建设用地地块，土壤污染责任人、土地使用权人应当按照国务院生态环境主管部门的规定进行土壤污染风险评估，并将土壤污染风险评估报告报省级人民政府生态环境主管部门</w:t>
      </w:r>
      <w:r>
        <w:rPr>
          <w:rFonts w:hint="eastAsia" w:ascii="仿宋" w:hAnsi="仿宋" w:eastAsia="仿宋"/>
          <w:color w:val="auto"/>
          <w:sz w:val="32"/>
          <w:szCs w:val="32"/>
        </w:rPr>
        <w:t>。</w:t>
      </w:r>
    </w:p>
    <w:p>
      <w:pPr>
        <w:pStyle w:val="5"/>
        <w:shd w:val="clear" w:color="auto" w:fill="FFFFFF"/>
        <w:spacing w:before="0" w:beforeAutospacing="0" w:after="0" w:afterAutospacing="0" w:line="570" w:lineRule="exact"/>
        <w:ind w:firstLine="640" w:firstLineChars="200"/>
        <w:jc w:val="both"/>
        <w:rPr>
          <w:rFonts w:hint="eastAsia" w:ascii="仿宋" w:hAnsi="仿宋" w:eastAsia="仿宋"/>
          <w:color w:val="auto"/>
          <w:sz w:val="32"/>
          <w:szCs w:val="32"/>
        </w:rPr>
      </w:pPr>
      <w:r>
        <w:rPr>
          <w:rFonts w:hint="eastAsia" w:ascii="仿宋_GB2312" w:eastAsia="仿宋_GB2312"/>
          <w:color w:val="auto"/>
          <w:sz w:val="32"/>
          <w:szCs w:val="32"/>
          <w:lang w:val="en-US" w:eastAsia="zh-CN"/>
        </w:rPr>
        <w:t>202101-202108地块</w:t>
      </w:r>
      <w:r>
        <w:rPr>
          <w:rFonts w:hint="eastAsia" w:ascii="仿宋_GB2312" w:eastAsia="仿宋_GB2312"/>
          <w:color w:val="auto"/>
          <w:sz w:val="32"/>
          <w:szCs w:val="32"/>
        </w:rPr>
        <w:t>范围约</w:t>
      </w:r>
      <w:r>
        <w:rPr>
          <w:rFonts w:hint="eastAsia" w:ascii="仿宋_GB2312" w:eastAsia="仿宋_GB2312"/>
          <w:color w:val="auto"/>
          <w:sz w:val="32"/>
          <w:szCs w:val="32"/>
          <w:lang w:val="en-US" w:eastAsia="zh-CN"/>
        </w:rPr>
        <w:t>1118</w:t>
      </w:r>
      <w:r>
        <w:rPr>
          <w:rFonts w:hint="eastAsia" w:ascii="仿宋_GB2312" w:eastAsia="仿宋_GB2312"/>
          <w:color w:val="auto"/>
          <w:sz w:val="32"/>
          <w:szCs w:val="32"/>
        </w:rPr>
        <w:t>亩，</w:t>
      </w:r>
      <w:r>
        <w:rPr>
          <w:rFonts w:hint="eastAsia" w:ascii="仿宋_GB2312" w:eastAsia="仿宋_GB2312"/>
          <w:color w:val="auto"/>
          <w:sz w:val="32"/>
          <w:szCs w:val="32"/>
          <w:lang w:val="en-US" w:eastAsia="zh-CN"/>
        </w:rPr>
        <w:t>其中202101、202102、202103、202104、202105、202106、202107地块</w:t>
      </w:r>
      <w:r>
        <w:rPr>
          <w:rFonts w:hint="eastAsia" w:ascii="仿宋_GB2312" w:eastAsia="仿宋_GB2312"/>
          <w:color w:val="auto"/>
          <w:sz w:val="32"/>
          <w:szCs w:val="32"/>
        </w:rPr>
        <w:t>后期规划为居住用地</w:t>
      </w:r>
      <w:r>
        <w:rPr>
          <w:rFonts w:hint="eastAsia" w:ascii="仿宋_GB2312" w:eastAsia="仿宋_GB2312"/>
          <w:color w:val="auto"/>
          <w:sz w:val="32"/>
          <w:szCs w:val="32"/>
          <w:lang w:val="en-US" w:eastAsia="zh-CN"/>
        </w:rPr>
        <w:t>（R2），202108地块</w:t>
      </w:r>
      <w:r>
        <w:rPr>
          <w:rFonts w:hint="eastAsia" w:ascii="仿宋_GB2312" w:eastAsia="仿宋_GB2312"/>
          <w:color w:val="auto"/>
          <w:sz w:val="32"/>
          <w:szCs w:val="32"/>
        </w:rPr>
        <w:t>后期规划为</w:t>
      </w:r>
      <w:r>
        <w:rPr>
          <w:rFonts w:hint="eastAsia" w:ascii="仿宋_GB2312" w:eastAsia="仿宋_GB2312"/>
          <w:color w:val="auto"/>
          <w:sz w:val="32"/>
          <w:szCs w:val="32"/>
          <w:lang w:val="en-US" w:eastAsia="zh-CN"/>
        </w:rPr>
        <w:t>商业服务业设施用地（B）</w:t>
      </w:r>
      <w:r>
        <w:rPr>
          <w:rFonts w:hint="eastAsia" w:ascii="仿宋_GB2312" w:eastAsia="仿宋_GB2312"/>
          <w:color w:val="auto"/>
          <w:sz w:val="32"/>
          <w:szCs w:val="32"/>
        </w:rPr>
        <w:t>。采用《土壤环境质量建设用地土壤污染风险管控标准（试行）》（GB36600-2018）对该地块开展土壤环境质量的初步调查工作。</w:t>
      </w:r>
    </w:p>
    <w:p>
      <w:pPr>
        <w:pStyle w:val="5"/>
        <w:shd w:val="clear" w:color="auto" w:fill="FFFFFF"/>
        <w:spacing w:before="0" w:beforeAutospacing="0" w:after="0" w:afterAutospacing="0" w:line="570" w:lineRule="exact"/>
        <w:ind w:firstLine="640" w:firstLineChars="200"/>
        <w:jc w:val="both"/>
        <w:rPr>
          <w:rFonts w:ascii="仿宋_GB2312" w:hAnsi="仿宋" w:eastAsia="仿宋_GB2312" w:cs="方正仿宋简体"/>
          <w:color w:val="auto"/>
          <w:sz w:val="32"/>
          <w:szCs w:val="32"/>
        </w:rPr>
      </w:pPr>
      <w:r>
        <w:rPr>
          <w:rFonts w:hint="eastAsia" w:ascii="仿宋" w:hAnsi="仿宋" w:eastAsia="仿宋" w:cs="方正仿宋简体"/>
          <w:color w:val="auto"/>
          <w:sz w:val="32"/>
          <w:szCs w:val="32"/>
        </w:rPr>
        <w:t>2021年度</w:t>
      </w:r>
      <w:r>
        <w:rPr>
          <w:rFonts w:hint="eastAsia" w:ascii="仿宋" w:hAnsi="仿宋" w:eastAsia="仿宋" w:cs="方正仿宋简体"/>
          <w:color w:val="auto"/>
          <w:sz w:val="32"/>
          <w:szCs w:val="32"/>
          <w:lang w:eastAsia="zh-CN"/>
        </w:rPr>
        <w:t>土壤污染状况调查</w:t>
      </w:r>
      <w:r>
        <w:rPr>
          <w:rFonts w:hint="eastAsia" w:ascii="仿宋" w:hAnsi="仿宋" w:eastAsia="仿宋" w:cs="方正仿宋简体"/>
          <w:color w:val="auto"/>
          <w:sz w:val="32"/>
          <w:szCs w:val="32"/>
        </w:rPr>
        <w:t>专项资金来源为财政拨款，安排预算</w:t>
      </w:r>
      <w:r>
        <w:rPr>
          <w:rFonts w:hint="eastAsia" w:ascii="仿宋" w:hAnsi="仿宋" w:eastAsia="仿宋" w:cs="方正仿宋简体"/>
          <w:color w:val="auto"/>
          <w:sz w:val="32"/>
          <w:szCs w:val="32"/>
          <w:lang w:val="en-US" w:eastAsia="zh-CN"/>
        </w:rPr>
        <w:t>95</w:t>
      </w:r>
      <w:r>
        <w:rPr>
          <w:rFonts w:hint="eastAsia" w:ascii="仿宋" w:hAnsi="仿宋" w:eastAsia="仿宋" w:cs="方正仿宋简体"/>
          <w:color w:val="auto"/>
          <w:sz w:val="32"/>
          <w:szCs w:val="32"/>
        </w:rPr>
        <w:t>万元</w:t>
      </w:r>
      <w:r>
        <w:rPr>
          <w:rFonts w:hint="eastAsia" w:ascii="仿宋" w:hAnsi="仿宋" w:eastAsia="仿宋" w:cs="方正仿宋简体"/>
          <w:color w:val="auto"/>
          <w:sz w:val="32"/>
          <w:szCs w:val="32"/>
        </w:rPr>
        <w:t>，主</w:t>
      </w:r>
      <w:r>
        <w:rPr>
          <w:rFonts w:hint="eastAsia" w:ascii="仿宋" w:hAnsi="仿宋" w:eastAsia="仿宋"/>
          <w:color w:val="auto"/>
          <w:sz w:val="32"/>
          <w:szCs w:val="32"/>
        </w:rPr>
        <w:t>要用于</w:t>
      </w:r>
      <w:r>
        <w:rPr>
          <w:rFonts w:hint="eastAsia" w:ascii="仿宋" w:hAnsi="仿宋" w:eastAsia="仿宋" w:cs="方正仿宋简体"/>
          <w:color w:val="auto"/>
          <w:sz w:val="32"/>
          <w:szCs w:val="32"/>
          <w:lang w:eastAsia="zh-CN"/>
        </w:rPr>
        <w:t>出让土地的土壤污染状况调查使用</w:t>
      </w:r>
      <w:r>
        <w:rPr>
          <w:rFonts w:hint="eastAsia" w:ascii="仿宋" w:hAnsi="仿宋" w:eastAsia="仿宋" w:cs="方正仿宋简体"/>
          <w:color w:val="auto"/>
          <w:sz w:val="32"/>
          <w:szCs w:val="32"/>
        </w:rPr>
        <w:t>。</w:t>
      </w:r>
      <w:r>
        <w:rPr>
          <w:rFonts w:hint="eastAsia" w:ascii="仿宋_GB2312" w:hAnsi="仿宋" w:eastAsia="仿宋_GB2312" w:cs="方正仿宋简体"/>
          <w:color w:val="auto"/>
          <w:sz w:val="32"/>
          <w:szCs w:val="32"/>
        </w:rPr>
        <w:t>2021年共8个项目，出让202101-202108号地块项目。</w:t>
      </w:r>
    </w:p>
    <w:p>
      <w:pPr>
        <w:pStyle w:val="5"/>
        <w:shd w:val="clear" w:color="auto" w:fill="FFFFFF"/>
        <w:spacing w:before="0" w:beforeAutospacing="0" w:after="0" w:afterAutospacing="0" w:line="570" w:lineRule="exact"/>
        <w:ind w:firstLine="640" w:firstLineChars="200"/>
        <w:jc w:val="both"/>
        <w:rPr>
          <w:rFonts w:ascii="仿宋" w:hAnsi="仿宋" w:eastAsia="仿宋" w:cs="方正仿宋简体"/>
          <w:color w:val="auto"/>
          <w:sz w:val="32"/>
          <w:szCs w:val="32"/>
        </w:rPr>
      </w:pPr>
      <w:r>
        <w:rPr>
          <w:rFonts w:hint="eastAsia" w:ascii="仿宋" w:hAnsi="仿宋" w:eastAsia="仿宋" w:cs="方正仿宋简体"/>
          <w:color w:val="auto"/>
          <w:sz w:val="32"/>
          <w:szCs w:val="32"/>
        </w:rPr>
        <w:t>项目严格按照财政专项资金的审批拨付制度，坚持专款专用，量入为出的原则，保证了自然资源各项工作的正常开展。</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1、总体目标</w:t>
      </w:r>
    </w:p>
    <w:p>
      <w:pPr>
        <w:pStyle w:val="5"/>
        <w:shd w:val="clear" w:color="auto" w:fill="FFFFFF"/>
        <w:spacing w:before="0" w:beforeAutospacing="0" w:after="0" w:afterAutospacing="0" w:line="570" w:lineRule="exact"/>
        <w:ind w:firstLine="640" w:firstLineChars="200"/>
        <w:jc w:val="both"/>
        <w:rPr>
          <w:rFonts w:hint="eastAsia" w:ascii="仿宋" w:hAnsi="仿宋" w:eastAsia="仿宋" w:cs="方正仿宋简体"/>
          <w:color w:val="auto"/>
          <w:sz w:val="32"/>
          <w:szCs w:val="32"/>
          <w:lang w:eastAsia="zh-Hans"/>
        </w:rPr>
      </w:pPr>
      <w:r>
        <w:rPr>
          <w:rFonts w:hint="eastAsia" w:ascii="仿宋" w:hAnsi="仿宋" w:eastAsia="仿宋" w:cs="方正仿宋简体"/>
          <w:color w:val="auto"/>
          <w:sz w:val="32"/>
          <w:szCs w:val="32"/>
          <w:lang w:val="en-US" w:eastAsia="zh-Hans"/>
        </w:rPr>
        <w:t>按照</w:t>
      </w:r>
      <w:r>
        <w:rPr>
          <w:rFonts w:hint="eastAsia" w:ascii="仿宋_GB2312" w:eastAsia="仿宋_GB2312"/>
          <w:color w:val="auto"/>
          <w:sz w:val="32"/>
          <w:szCs w:val="32"/>
          <w:lang w:val="en-US" w:eastAsia="zh-CN"/>
        </w:rPr>
        <w:t>《中华人民共和国土壤污染防治法》</w:t>
      </w:r>
      <w:r>
        <w:rPr>
          <w:rFonts w:hint="eastAsia" w:ascii="仿宋_GB2312" w:eastAsia="仿宋_GB2312"/>
          <w:color w:val="auto"/>
          <w:sz w:val="32"/>
          <w:szCs w:val="32"/>
          <w:lang w:val="en-US" w:eastAsia="zh-Hans"/>
        </w:rPr>
        <w:t>和相关规范要求，对</w:t>
      </w:r>
      <w:r>
        <w:rPr>
          <w:rFonts w:hint="eastAsia" w:ascii="仿宋_GB2312" w:eastAsia="仿宋_GB2312"/>
          <w:color w:val="auto"/>
          <w:sz w:val="32"/>
          <w:szCs w:val="32"/>
          <w:lang w:val="en-US" w:eastAsia="zh-CN"/>
        </w:rPr>
        <w:t>202101-202108地块</w:t>
      </w:r>
      <w:r>
        <w:rPr>
          <w:rFonts w:hint="eastAsia" w:ascii="仿宋_GB2312" w:eastAsia="仿宋_GB2312"/>
          <w:color w:val="auto"/>
          <w:sz w:val="32"/>
          <w:szCs w:val="32"/>
        </w:rPr>
        <w:t>范围约</w:t>
      </w:r>
      <w:r>
        <w:rPr>
          <w:rFonts w:hint="eastAsia" w:ascii="仿宋_GB2312" w:eastAsia="仿宋_GB2312"/>
          <w:color w:val="auto"/>
          <w:sz w:val="32"/>
          <w:szCs w:val="32"/>
          <w:lang w:val="en-US" w:eastAsia="zh-CN"/>
        </w:rPr>
        <w:t>1118</w:t>
      </w:r>
      <w:r>
        <w:rPr>
          <w:rFonts w:hint="eastAsia" w:ascii="仿宋_GB2312" w:eastAsia="仿宋_GB2312"/>
          <w:color w:val="auto"/>
          <w:sz w:val="32"/>
          <w:szCs w:val="32"/>
        </w:rPr>
        <w:t>亩</w:t>
      </w:r>
      <w:r>
        <w:rPr>
          <w:rFonts w:hint="eastAsia" w:ascii="仿宋_GB2312" w:eastAsia="仿宋_GB2312"/>
          <w:color w:val="auto"/>
          <w:sz w:val="32"/>
          <w:szCs w:val="32"/>
          <w:lang w:val="en-US" w:eastAsia="zh-Hans"/>
        </w:rPr>
        <w:t>拟出让土地进行土壤污染状况调查工作，并经主管部门评审通过。</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2、阶段性目标</w:t>
      </w:r>
    </w:p>
    <w:p>
      <w:pPr>
        <w:spacing w:line="570" w:lineRule="exact"/>
        <w:ind w:firstLine="640" w:firstLineChars="200"/>
        <w:rPr>
          <w:rFonts w:ascii="仿宋_GB2312" w:hAnsi="仿宋" w:eastAsia="仿宋_GB2312"/>
          <w:color w:val="auto"/>
          <w:sz w:val="32"/>
          <w:szCs w:val="32"/>
        </w:rPr>
      </w:pPr>
      <w:r>
        <w:rPr>
          <w:rFonts w:hint="eastAsia" w:ascii="仿宋_GB2312" w:hAnsi="仿宋" w:eastAsia="仿宋_GB2312" w:cs="宋体"/>
          <w:color w:val="auto"/>
          <w:kern w:val="0"/>
          <w:sz w:val="32"/>
          <w:szCs w:val="32"/>
          <w:lang w:val="en-US" w:eastAsia="zh-Hans"/>
        </w:rPr>
        <w:t>已经按规范要求提交土壤污染状况调查报告，并经唐山市生态环境局评审备案</w:t>
      </w:r>
      <w:r>
        <w:rPr>
          <w:rFonts w:hint="eastAsia" w:ascii="仿宋_GB2312" w:hAnsi="仿宋" w:eastAsia="仿宋_GB2312" w:cs="宋体"/>
          <w:color w:val="auto"/>
          <w:kern w:val="0"/>
          <w:sz w:val="32"/>
          <w:szCs w:val="32"/>
        </w:rPr>
        <w:t>。</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二、绩效评价工作开展情况</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（一）绩效评价目的、对象和范围。</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1、评价目的。考察土</w:t>
      </w:r>
      <w:r>
        <w:rPr>
          <w:rFonts w:hint="eastAsia" w:ascii="仿宋" w:hAnsi="仿宋" w:eastAsia="仿宋"/>
          <w:color w:val="auto"/>
          <w:sz w:val="32"/>
          <w:szCs w:val="32"/>
          <w:lang w:val="en-US" w:eastAsia="zh-Hans"/>
        </w:rPr>
        <w:t>壤污染状况调查</w:t>
      </w:r>
      <w:r>
        <w:rPr>
          <w:rFonts w:hint="eastAsia" w:ascii="仿宋" w:hAnsi="仿宋" w:eastAsia="仿宋"/>
          <w:color w:val="auto"/>
          <w:sz w:val="32"/>
          <w:szCs w:val="32"/>
        </w:rPr>
        <w:t>项目执行的完善性及有效性，考核</w:t>
      </w:r>
      <w:r>
        <w:rPr>
          <w:rFonts w:hint="eastAsia" w:ascii="仿宋" w:hAnsi="仿宋" w:eastAsia="仿宋"/>
          <w:color w:val="auto"/>
          <w:sz w:val="32"/>
          <w:szCs w:val="32"/>
          <w:lang w:val="en-US" w:eastAsia="zh-Hans"/>
        </w:rPr>
        <w:t>土壤污染状况调查</w:t>
      </w:r>
      <w:r>
        <w:rPr>
          <w:rFonts w:hint="eastAsia" w:ascii="仿宋" w:hAnsi="仿宋" w:eastAsia="仿宋"/>
          <w:color w:val="auto"/>
          <w:sz w:val="32"/>
          <w:szCs w:val="32"/>
        </w:rPr>
        <w:t>项目资金支出的管理效率、资金使用的经济性、效益性、公平性。</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2、评价对象和范围。本次评价对象为：采购“土</w:t>
      </w:r>
      <w:r>
        <w:rPr>
          <w:rFonts w:hint="eastAsia" w:ascii="仿宋" w:hAnsi="仿宋" w:eastAsia="仿宋"/>
          <w:color w:val="auto"/>
          <w:sz w:val="32"/>
          <w:szCs w:val="32"/>
          <w:lang w:val="en-US" w:eastAsia="zh-Hans"/>
        </w:rPr>
        <w:t>壤污染状况调查</w:t>
      </w:r>
      <w:r>
        <w:rPr>
          <w:rFonts w:hint="eastAsia" w:ascii="仿宋" w:hAnsi="仿宋" w:eastAsia="仿宋"/>
          <w:color w:val="auto"/>
          <w:sz w:val="32"/>
          <w:szCs w:val="32"/>
        </w:rPr>
        <w:t>项目”作业单位的经费。评价范围是项目决策：包括立项程序、绩效目标设定情况；项目过程：包括预算安排、资金支付管理、项目实施情况；项目产出：包括项目产出数量、质量；项目效益：项目带来的社会效益，以及影响力和相关方的满意度。</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（二）绩效评价原则、评价指标体系、评价方法、评价标准等。</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应遵循全面覆盖、程序简便、客观公正、公开透明的原则。按照设定的指标体系，</w:t>
      </w:r>
      <w:r>
        <w:rPr>
          <w:rFonts w:ascii="仿宋" w:hAnsi="仿宋" w:eastAsia="仿宋"/>
          <w:color w:val="auto"/>
          <w:sz w:val="32"/>
          <w:szCs w:val="32"/>
        </w:rPr>
        <w:t>单位中层以上干部参与评价，并从各科室抽选人员进行打分，由项目负责人进行梳理并整改。</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（三）绩效评价工作过程。</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1.前期准备：</w:t>
      </w:r>
      <w:r>
        <w:rPr>
          <w:rFonts w:ascii="仿宋" w:hAnsi="仿宋" w:eastAsia="仿宋"/>
          <w:color w:val="auto"/>
          <w:sz w:val="32"/>
          <w:szCs w:val="32"/>
        </w:rPr>
        <w:t>成立部门绩效评价小组，学习评价指标体系和绩效相关文件通知。</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2.组织实施：</w:t>
      </w:r>
      <w:r>
        <w:rPr>
          <w:rFonts w:ascii="仿宋" w:hAnsi="仿宋" w:eastAsia="仿宋"/>
          <w:color w:val="auto"/>
          <w:sz w:val="32"/>
          <w:szCs w:val="32"/>
        </w:rPr>
        <w:t>按照规定的工作程序组织绩效评价自评，注重评价质量，撰写绩效评价报告。</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3.分析评价：对照年初制定的绩效指标认真开展分析，看是否完成年初预定任务，看社会公众是否满意。</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三、综合评价情况及评价结论</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通过本次财政项目支出绩效评价，全面反映</w:t>
      </w:r>
      <w:r>
        <w:rPr>
          <w:rFonts w:hint="eastAsia" w:ascii="仿宋" w:hAnsi="仿宋" w:eastAsia="仿宋"/>
          <w:color w:val="auto"/>
          <w:sz w:val="32"/>
          <w:szCs w:val="32"/>
          <w:lang w:val="en-US" w:eastAsia="zh-Hans"/>
        </w:rPr>
        <w:t>土壤污染状况调查</w:t>
      </w:r>
      <w:r>
        <w:rPr>
          <w:rFonts w:hint="eastAsia" w:ascii="仿宋" w:hAnsi="仿宋" w:eastAsia="仿宋"/>
          <w:color w:val="auto"/>
          <w:sz w:val="32"/>
          <w:szCs w:val="32"/>
        </w:rPr>
        <w:t>项目实际执行情况和取得的实际成效，遵循“科学公正、统筹兼顾、激励约束、公开透明”的基本原则实施，查找实际执行与计划目标的差异及原因，提出相关科学合理的整改建议，促进旅游岛自然资源和规划分局强化绩效意识、强化项目实施的目标管理和过程控制，建立绩效管理机制。</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本项目纳入财政资金预算绩效管理，根据《唐山国际旅游岛项目支出绩效自评管理办法》绩效评价指标体系、评分标准，经我单位认真对2021年度</w:t>
      </w:r>
      <w:r>
        <w:rPr>
          <w:rFonts w:hint="eastAsia" w:ascii="仿宋" w:hAnsi="仿宋" w:eastAsia="仿宋"/>
          <w:color w:val="auto"/>
          <w:sz w:val="32"/>
          <w:szCs w:val="32"/>
          <w:lang w:eastAsia="zh-CN"/>
        </w:rPr>
        <w:t>土壤污染状况调查</w:t>
      </w:r>
      <w:r>
        <w:rPr>
          <w:rFonts w:hint="eastAsia" w:ascii="仿宋" w:hAnsi="仿宋" w:eastAsia="仿宋"/>
          <w:color w:val="auto"/>
          <w:sz w:val="32"/>
          <w:szCs w:val="32"/>
        </w:rPr>
        <w:t>项目进行客观评价，项目最终得分为</w:t>
      </w:r>
      <w:r>
        <w:rPr>
          <w:rFonts w:hint="eastAsia" w:ascii="仿宋" w:hAnsi="仿宋" w:eastAsia="仿宋"/>
          <w:color w:val="auto"/>
          <w:sz w:val="32"/>
          <w:szCs w:val="32"/>
          <w:lang w:val="en-US" w:eastAsia="zh-CN"/>
        </w:rPr>
        <w:t>80</w:t>
      </w:r>
      <w:r>
        <w:rPr>
          <w:rFonts w:hint="eastAsia" w:ascii="仿宋" w:hAnsi="仿宋" w:eastAsia="仿宋"/>
          <w:color w:val="auto"/>
          <w:sz w:val="32"/>
          <w:szCs w:val="32"/>
        </w:rPr>
        <w:t>分。</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四、绩效评价指标分析</w:t>
      </w:r>
    </w:p>
    <w:p>
      <w:pPr>
        <w:spacing w:line="570" w:lineRule="exact"/>
        <w:ind w:firstLine="640" w:firstLineChars="200"/>
        <w:outlineLvl w:val="0"/>
        <w:rPr>
          <w:rFonts w:ascii="仿宋" w:hAnsi="仿宋" w:eastAsia="仿宋"/>
          <w:color w:val="auto"/>
          <w:sz w:val="32"/>
          <w:szCs w:val="32"/>
        </w:rPr>
      </w:pPr>
      <w:r>
        <w:rPr>
          <w:rFonts w:hint="eastAsia" w:ascii="仿宋" w:hAnsi="仿宋" w:eastAsia="仿宋"/>
          <w:color w:val="auto"/>
          <w:sz w:val="32"/>
          <w:szCs w:val="32"/>
        </w:rPr>
        <w:t>（一）项目决策情况。按照区财政政策要求施行。</w:t>
      </w:r>
    </w:p>
    <w:p>
      <w:pPr>
        <w:spacing w:line="570" w:lineRule="exact"/>
        <w:ind w:firstLine="640" w:firstLineChars="200"/>
        <w:outlineLvl w:val="0"/>
        <w:rPr>
          <w:rFonts w:ascii="仿宋" w:hAnsi="仿宋" w:eastAsia="仿宋"/>
          <w:color w:val="auto"/>
          <w:sz w:val="32"/>
          <w:szCs w:val="32"/>
        </w:rPr>
      </w:pPr>
      <w:r>
        <w:rPr>
          <w:rFonts w:hint="eastAsia" w:ascii="仿宋" w:hAnsi="仿宋" w:eastAsia="仿宋"/>
          <w:color w:val="auto"/>
          <w:sz w:val="32"/>
          <w:szCs w:val="32"/>
        </w:rPr>
        <w:t>（二）项目过程情况。该项目资金主要用于</w:t>
      </w:r>
      <w:r>
        <w:rPr>
          <w:rFonts w:hint="eastAsia" w:ascii="仿宋" w:hAnsi="仿宋" w:eastAsia="仿宋"/>
          <w:color w:val="auto"/>
          <w:sz w:val="32"/>
          <w:szCs w:val="32"/>
          <w:lang w:val="en-US" w:eastAsia="zh-Hans"/>
        </w:rPr>
        <w:t>土壤污染状况调查项目</w:t>
      </w:r>
      <w:r>
        <w:rPr>
          <w:rFonts w:hint="eastAsia" w:ascii="仿宋" w:hAnsi="仿宋" w:eastAsia="仿宋"/>
          <w:color w:val="auto"/>
          <w:sz w:val="32"/>
          <w:szCs w:val="32"/>
        </w:rPr>
        <w:t>。</w:t>
      </w:r>
    </w:p>
    <w:p>
      <w:pPr>
        <w:spacing w:line="570" w:lineRule="exact"/>
        <w:ind w:firstLine="640" w:firstLineChars="200"/>
        <w:outlineLvl w:val="0"/>
        <w:rPr>
          <w:rFonts w:ascii="仿宋" w:hAnsi="仿宋" w:eastAsia="仿宋"/>
          <w:color w:val="auto"/>
          <w:sz w:val="32"/>
          <w:szCs w:val="32"/>
        </w:rPr>
      </w:pPr>
      <w:r>
        <w:rPr>
          <w:rFonts w:hint="eastAsia" w:ascii="仿宋" w:hAnsi="仿宋" w:eastAsia="仿宋"/>
          <w:color w:val="auto"/>
          <w:sz w:val="32"/>
          <w:szCs w:val="32"/>
        </w:rPr>
        <w:t>（三）项目产出情况。</w:t>
      </w:r>
      <w:r>
        <w:rPr>
          <w:rFonts w:hint="eastAsia" w:ascii="仿宋" w:hAnsi="仿宋" w:eastAsia="仿宋"/>
          <w:color w:val="auto"/>
          <w:sz w:val="32"/>
          <w:szCs w:val="32"/>
          <w:lang w:val="en-US" w:eastAsia="zh-Hans"/>
        </w:rPr>
        <w:t>完成《中华人民共和国土壤污染防治法》要求的土壤污染状况调查工作，可以作为土地出让的依据</w:t>
      </w:r>
      <w:r>
        <w:rPr>
          <w:rFonts w:hint="eastAsia" w:ascii="仿宋" w:hAnsi="仿宋" w:eastAsia="仿宋"/>
          <w:color w:val="auto"/>
          <w:sz w:val="32"/>
          <w:szCs w:val="32"/>
        </w:rPr>
        <w:t>。</w:t>
      </w:r>
    </w:p>
    <w:p>
      <w:pPr>
        <w:spacing w:line="570" w:lineRule="exact"/>
        <w:ind w:firstLine="640" w:firstLineChars="200"/>
        <w:outlineLvl w:val="0"/>
        <w:rPr>
          <w:rFonts w:ascii="仿宋" w:hAnsi="仿宋" w:eastAsia="仿宋"/>
          <w:color w:val="auto"/>
          <w:sz w:val="32"/>
          <w:szCs w:val="32"/>
        </w:rPr>
      </w:pPr>
      <w:r>
        <w:rPr>
          <w:rFonts w:hint="eastAsia" w:ascii="仿宋" w:hAnsi="仿宋" w:eastAsia="仿宋"/>
          <w:color w:val="auto"/>
          <w:sz w:val="32"/>
          <w:szCs w:val="32"/>
        </w:rPr>
        <w:t>（四）项目效益情况。主要用于地方城市建设、改善城市环境、加快城市基础设施建设、推进土地市场建设等。</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五、主要经验及做法、存在的问题及原因分析</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项目年初预算主要根据经验估计的亩数，以及亩均指标单价套算来确定的，故无法细化到具体地块以及项目，且预算未经过科学论证，所以年初预算申请和年中预算调整时会与实际执行情况出现偏差。</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六、有关建议</w:t>
      </w:r>
    </w:p>
    <w:p>
      <w:pPr>
        <w:spacing w:line="57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建议项目单位进一步加强前期的预算管理，预算编制是开展工作的起点和关键，项目单位需要科学合理的编制预算，确保预算编制科学化、精细化。</w:t>
      </w:r>
    </w:p>
    <w:p>
      <w:pPr>
        <w:spacing w:line="570" w:lineRule="exact"/>
        <w:rPr>
          <w:rFonts w:ascii="仿宋" w:hAnsi="仿宋" w:eastAsia="仿宋"/>
          <w:color w:val="auto"/>
          <w:sz w:val="32"/>
          <w:szCs w:val="32"/>
        </w:rPr>
      </w:pPr>
    </w:p>
    <w:p>
      <w:pPr>
        <w:spacing w:line="570" w:lineRule="exact"/>
        <w:rPr>
          <w:rFonts w:ascii="仿宋" w:hAnsi="仿宋" w:eastAsia="仿宋"/>
          <w:color w:val="auto"/>
          <w:sz w:val="32"/>
          <w:szCs w:val="32"/>
        </w:rPr>
      </w:pPr>
    </w:p>
    <w:p>
      <w:pPr>
        <w:spacing w:line="570" w:lineRule="exact"/>
        <w:rPr>
          <w:rFonts w:ascii="仿宋_GB2312" w:eastAsia="仿宋_GB2312"/>
          <w:color w:val="auto"/>
          <w:sz w:val="32"/>
          <w:szCs w:val="32"/>
        </w:rPr>
      </w:pPr>
    </w:p>
    <w:p>
      <w:pPr>
        <w:spacing w:line="570" w:lineRule="exact"/>
        <w:rPr>
          <w:rFonts w:ascii="仿宋_GB2312" w:eastAsia="仿宋_GB2312"/>
          <w:color w:val="auto"/>
          <w:sz w:val="32"/>
          <w:szCs w:val="32"/>
        </w:rPr>
      </w:pPr>
    </w:p>
    <w:tbl>
      <w:tblPr>
        <w:tblStyle w:val="6"/>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212"/>
        <w:gridCol w:w="63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（2021年度）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采购</w:t>
            </w:r>
            <w:r>
              <w:rPr>
                <w:rFonts w:hint="eastAsia" w:ascii="宋体" w:hAnsi="宋体" w:cs="宋体"/>
                <w:color w:val="auto"/>
                <w:kern w:val="0"/>
                <w:sz w:val="18"/>
                <w:szCs w:val="18"/>
                <w:lang w:eastAsia="zh-CN"/>
              </w:rPr>
              <w:t>土壤污染状况调查</w:t>
            </w:r>
            <w:r>
              <w:rPr>
                <w:rFonts w:hint="eastAsia" w:ascii="宋体" w:hAnsi="宋体" w:cs="宋体"/>
                <w:color w:val="auto"/>
                <w:kern w:val="0"/>
                <w:sz w:val="18"/>
                <w:szCs w:val="18"/>
              </w:rPr>
              <w:t>作业单位</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7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预计出让土地约2000亩。</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出让土地1002.34亩。</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出具</w:t>
            </w:r>
            <w:r>
              <w:rPr>
                <w:rFonts w:hint="eastAsia" w:ascii="宋体" w:hAnsi="宋体" w:cs="宋体"/>
                <w:color w:val="auto"/>
                <w:kern w:val="0"/>
                <w:sz w:val="18"/>
                <w:szCs w:val="18"/>
                <w:lang w:eastAsia="zh-CN"/>
              </w:rPr>
              <w:t>土壤污染状况调查</w:t>
            </w:r>
            <w:r>
              <w:rPr>
                <w:rFonts w:hint="eastAsia" w:ascii="宋体" w:hAnsi="宋体" w:cs="宋体"/>
                <w:color w:val="auto"/>
                <w:kern w:val="0"/>
                <w:sz w:val="18"/>
                <w:szCs w:val="18"/>
              </w:rPr>
              <w:t>报告</w:t>
            </w:r>
          </w:p>
        </w:tc>
        <w:tc>
          <w:tcPr>
            <w:tcW w:w="850" w:type="dxa"/>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851" w:type="dxa"/>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567" w:type="dxa"/>
            <w:gridSpan w:val="2"/>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637" w:type="dxa"/>
            <w:gridSpan w:val="2"/>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土壤污染状况调查</w:t>
            </w:r>
            <w:r>
              <w:rPr>
                <w:rFonts w:hint="eastAsia" w:ascii="宋体" w:hAnsi="宋体" w:cs="宋体"/>
                <w:color w:val="auto"/>
                <w:kern w:val="0"/>
                <w:sz w:val="18"/>
                <w:szCs w:val="18"/>
              </w:rPr>
              <w:t>价值</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使用期限</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1年</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1年</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6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9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成果</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95</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6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0</w:t>
            </w:r>
          </w:p>
        </w:tc>
        <w:tc>
          <w:tcPr>
            <w:tcW w:w="1347"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项目年初预算主要根据经验估计的亩数，以及亩均指标单价套算来确定的，故无法细化到具体地块以及项目，且预算未经过科学论证，所以年初预算申请和年中预算调整时会与实际执行情况出现偏差。</w:t>
            </w:r>
          </w:p>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评估土地价值</w:t>
            </w:r>
          </w:p>
        </w:tc>
        <w:tc>
          <w:tcPr>
            <w:tcW w:w="850"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637" w:type="dxa"/>
            <w:gridSpan w:val="2"/>
            <w:vMerge w:val="restart"/>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48" w:type="dxa"/>
            <w:gridSpan w:val="3"/>
            <w:vMerge w:val="continue"/>
            <w:tcBorders>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850"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continue"/>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continue"/>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7" w:type="dxa"/>
            <w:gridSpan w:val="2"/>
            <w:vMerge w:val="continue"/>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年度任务</w:t>
            </w:r>
          </w:p>
        </w:tc>
        <w:tc>
          <w:tcPr>
            <w:tcW w:w="850" w:type="dxa"/>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637" w:type="dxa"/>
            <w:gridSpan w:val="2"/>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48" w:type="dxa"/>
            <w:gridSpan w:val="3"/>
            <w:vMerge w:val="continue"/>
            <w:tcBorders>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850" w:type="dxa"/>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节约集约土地</w:t>
            </w:r>
          </w:p>
        </w:tc>
        <w:tc>
          <w:tcPr>
            <w:tcW w:w="850" w:type="dxa"/>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637" w:type="dxa"/>
            <w:gridSpan w:val="2"/>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48" w:type="dxa"/>
            <w:gridSpan w:val="3"/>
            <w:vMerge w:val="continue"/>
            <w:tcBorders>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850" w:type="dxa"/>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评估价值影响</w:t>
            </w:r>
          </w:p>
        </w:tc>
        <w:tc>
          <w:tcPr>
            <w:tcW w:w="850" w:type="dxa"/>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637" w:type="dxa"/>
            <w:gridSpan w:val="2"/>
            <w:vMerge w:val="restart"/>
            <w:tcBorders>
              <w:top w:val="nil"/>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48" w:type="dxa"/>
            <w:gridSpan w:val="3"/>
            <w:vMerge w:val="continue"/>
            <w:tcBorders>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850" w:type="dxa"/>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570" w:lineRule="exact"/>
        <w:rPr>
          <w:rFonts w:ascii="仿宋_GB2312" w:eastAsia="仿宋_GB2312"/>
          <w:color w:val="auto"/>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2486F"/>
    <w:rsid w:val="00033E0F"/>
    <w:rsid w:val="00064D68"/>
    <w:rsid w:val="0006565C"/>
    <w:rsid w:val="00066713"/>
    <w:rsid w:val="00082A77"/>
    <w:rsid w:val="0009405F"/>
    <w:rsid w:val="000A5E9A"/>
    <w:rsid w:val="000B60E6"/>
    <w:rsid w:val="000D3A97"/>
    <w:rsid w:val="000D49BD"/>
    <w:rsid w:val="000E10B8"/>
    <w:rsid w:val="000E4CC7"/>
    <w:rsid w:val="000E569B"/>
    <w:rsid w:val="000F16B2"/>
    <w:rsid w:val="000F41F3"/>
    <w:rsid w:val="000F6F8C"/>
    <w:rsid w:val="001133E5"/>
    <w:rsid w:val="001159FD"/>
    <w:rsid w:val="00132647"/>
    <w:rsid w:val="00146629"/>
    <w:rsid w:val="00153064"/>
    <w:rsid w:val="00161FC6"/>
    <w:rsid w:val="00163BC6"/>
    <w:rsid w:val="00170118"/>
    <w:rsid w:val="00185862"/>
    <w:rsid w:val="0018607D"/>
    <w:rsid w:val="00196727"/>
    <w:rsid w:val="001A4E71"/>
    <w:rsid w:val="001D002B"/>
    <w:rsid w:val="001D006D"/>
    <w:rsid w:val="001E2E91"/>
    <w:rsid w:val="001E4817"/>
    <w:rsid w:val="001F45DC"/>
    <w:rsid w:val="0020223B"/>
    <w:rsid w:val="0021422A"/>
    <w:rsid w:val="002219D2"/>
    <w:rsid w:val="00223E0A"/>
    <w:rsid w:val="00226D6F"/>
    <w:rsid w:val="002404A4"/>
    <w:rsid w:val="00245C3E"/>
    <w:rsid w:val="0025776F"/>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173BC"/>
    <w:rsid w:val="00324474"/>
    <w:rsid w:val="00326462"/>
    <w:rsid w:val="00334302"/>
    <w:rsid w:val="0034058D"/>
    <w:rsid w:val="0034131B"/>
    <w:rsid w:val="00352EDD"/>
    <w:rsid w:val="0035497E"/>
    <w:rsid w:val="00374AFC"/>
    <w:rsid w:val="0037791F"/>
    <w:rsid w:val="00381931"/>
    <w:rsid w:val="00390F4F"/>
    <w:rsid w:val="00392D62"/>
    <w:rsid w:val="00395610"/>
    <w:rsid w:val="003A0066"/>
    <w:rsid w:val="003C0BCA"/>
    <w:rsid w:val="003C0CE4"/>
    <w:rsid w:val="003C1BBF"/>
    <w:rsid w:val="003C6A62"/>
    <w:rsid w:val="003D7FB8"/>
    <w:rsid w:val="003E4CF1"/>
    <w:rsid w:val="003F4056"/>
    <w:rsid w:val="0040420D"/>
    <w:rsid w:val="00405B9D"/>
    <w:rsid w:val="0042417B"/>
    <w:rsid w:val="00426AAA"/>
    <w:rsid w:val="00435FE0"/>
    <w:rsid w:val="00437D28"/>
    <w:rsid w:val="0044692E"/>
    <w:rsid w:val="004502FD"/>
    <w:rsid w:val="00455DE6"/>
    <w:rsid w:val="00456157"/>
    <w:rsid w:val="004654C7"/>
    <w:rsid w:val="00467372"/>
    <w:rsid w:val="00473590"/>
    <w:rsid w:val="004A6598"/>
    <w:rsid w:val="004B62A7"/>
    <w:rsid w:val="004C009B"/>
    <w:rsid w:val="004C36C2"/>
    <w:rsid w:val="004C64D4"/>
    <w:rsid w:val="004C6781"/>
    <w:rsid w:val="004E1C0C"/>
    <w:rsid w:val="004E6307"/>
    <w:rsid w:val="004F3CC2"/>
    <w:rsid w:val="00523FB1"/>
    <w:rsid w:val="00524527"/>
    <w:rsid w:val="00531074"/>
    <w:rsid w:val="005418F0"/>
    <w:rsid w:val="005429C1"/>
    <w:rsid w:val="00553E65"/>
    <w:rsid w:val="00555673"/>
    <w:rsid w:val="00556DD6"/>
    <w:rsid w:val="00566E51"/>
    <w:rsid w:val="00597150"/>
    <w:rsid w:val="005A46AB"/>
    <w:rsid w:val="005A6DF0"/>
    <w:rsid w:val="005C78EB"/>
    <w:rsid w:val="005E5552"/>
    <w:rsid w:val="005E7CB3"/>
    <w:rsid w:val="005E7FD5"/>
    <w:rsid w:val="005F5CA1"/>
    <w:rsid w:val="00611D3E"/>
    <w:rsid w:val="00633F54"/>
    <w:rsid w:val="00642DFD"/>
    <w:rsid w:val="00650D9A"/>
    <w:rsid w:val="006526E4"/>
    <w:rsid w:val="00653755"/>
    <w:rsid w:val="00660736"/>
    <w:rsid w:val="00660B45"/>
    <w:rsid w:val="006669AC"/>
    <w:rsid w:val="00674156"/>
    <w:rsid w:val="0068231B"/>
    <w:rsid w:val="00685051"/>
    <w:rsid w:val="006852AC"/>
    <w:rsid w:val="00685548"/>
    <w:rsid w:val="006A4602"/>
    <w:rsid w:val="006A5D79"/>
    <w:rsid w:val="006B190A"/>
    <w:rsid w:val="006B37BE"/>
    <w:rsid w:val="006B6B57"/>
    <w:rsid w:val="006C072B"/>
    <w:rsid w:val="006D1615"/>
    <w:rsid w:val="006F47ED"/>
    <w:rsid w:val="006F79BB"/>
    <w:rsid w:val="0071164D"/>
    <w:rsid w:val="00711713"/>
    <w:rsid w:val="00732289"/>
    <w:rsid w:val="007407D6"/>
    <w:rsid w:val="007513D6"/>
    <w:rsid w:val="007632B1"/>
    <w:rsid w:val="00770F76"/>
    <w:rsid w:val="0077350C"/>
    <w:rsid w:val="0078625F"/>
    <w:rsid w:val="0079588B"/>
    <w:rsid w:val="007A5561"/>
    <w:rsid w:val="007B75D1"/>
    <w:rsid w:val="007C6528"/>
    <w:rsid w:val="007C7E41"/>
    <w:rsid w:val="007E2582"/>
    <w:rsid w:val="007E6B24"/>
    <w:rsid w:val="00803339"/>
    <w:rsid w:val="008119D7"/>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384"/>
    <w:rsid w:val="009B2FC3"/>
    <w:rsid w:val="009B3D8B"/>
    <w:rsid w:val="009C3CCA"/>
    <w:rsid w:val="009C702C"/>
    <w:rsid w:val="009E0567"/>
    <w:rsid w:val="009E13F7"/>
    <w:rsid w:val="009E2A93"/>
    <w:rsid w:val="009F44F6"/>
    <w:rsid w:val="00A01F87"/>
    <w:rsid w:val="00A027E2"/>
    <w:rsid w:val="00A23AB2"/>
    <w:rsid w:val="00A40586"/>
    <w:rsid w:val="00A452F3"/>
    <w:rsid w:val="00A52B85"/>
    <w:rsid w:val="00A71FC0"/>
    <w:rsid w:val="00A72D00"/>
    <w:rsid w:val="00A769F1"/>
    <w:rsid w:val="00AA4B54"/>
    <w:rsid w:val="00AD331D"/>
    <w:rsid w:val="00AE52F5"/>
    <w:rsid w:val="00AE6BCF"/>
    <w:rsid w:val="00AE7D2A"/>
    <w:rsid w:val="00AF1C2F"/>
    <w:rsid w:val="00B06ACE"/>
    <w:rsid w:val="00B114DF"/>
    <w:rsid w:val="00B17CC2"/>
    <w:rsid w:val="00B22173"/>
    <w:rsid w:val="00B27782"/>
    <w:rsid w:val="00B31BE7"/>
    <w:rsid w:val="00B351B2"/>
    <w:rsid w:val="00B36D6C"/>
    <w:rsid w:val="00B473F7"/>
    <w:rsid w:val="00B64C71"/>
    <w:rsid w:val="00B8304E"/>
    <w:rsid w:val="00B942C4"/>
    <w:rsid w:val="00B96380"/>
    <w:rsid w:val="00BA30BC"/>
    <w:rsid w:val="00BA666E"/>
    <w:rsid w:val="00BB14D1"/>
    <w:rsid w:val="00BB24DF"/>
    <w:rsid w:val="00BB5CF4"/>
    <w:rsid w:val="00BB63F9"/>
    <w:rsid w:val="00BB7F2A"/>
    <w:rsid w:val="00BD7738"/>
    <w:rsid w:val="00BE155F"/>
    <w:rsid w:val="00BE7319"/>
    <w:rsid w:val="00BF4B02"/>
    <w:rsid w:val="00C021D1"/>
    <w:rsid w:val="00C022E1"/>
    <w:rsid w:val="00C03AB4"/>
    <w:rsid w:val="00C117D7"/>
    <w:rsid w:val="00C132F4"/>
    <w:rsid w:val="00C17B63"/>
    <w:rsid w:val="00C24242"/>
    <w:rsid w:val="00C261C8"/>
    <w:rsid w:val="00C405CA"/>
    <w:rsid w:val="00C44D1B"/>
    <w:rsid w:val="00C45F19"/>
    <w:rsid w:val="00C55A86"/>
    <w:rsid w:val="00C6042F"/>
    <w:rsid w:val="00C66E0F"/>
    <w:rsid w:val="00C678ED"/>
    <w:rsid w:val="00C8404D"/>
    <w:rsid w:val="00C937A5"/>
    <w:rsid w:val="00CA14F3"/>
    <w:rsid w:val="00CE0196"/>
    <w:rsid w:val="00CE13E6"/>
    <w:rsid w:val="00CE1F35"/>
    <w:rsid w:val="00CE22F7"/>
    <w:rsid w:val="00CE3086"/>
    <w:rsid w:val="00CE5464"/>
    <w:rsid w:val="00CF27E1"/>
    <w:rsid w:val="00CF5C52"/>
    <w:rsid w:val="00D216E7"/>
    <w:rsid w:val="00D23395"/>
    <w:rsid w:val="00D42656"/>
    <w:rsid w:val="00D4349F"/>
    <w:rsid w:val="00D61F07"/>
    <w:rsid w:val="00D64EE5"/>
    <w:rsid w:val="00D7101C"/>
    <w:rsid w:val="00D917C3"/>
    <w:rsid w:val="00D92E9F"/>
    <w:rsid w:val="00DA3251"/>
    <w:rsid w:val="00DE08F7"/>
    <w:rsid w:val="00E109A3"/>
    <w:rsid w:val="00E13530"/>
    <w:rsid w:val="00E262B7"/>
    <w:rsid w:val="00E3005B"/>
    <w:rsid w:val="00E321E1"/>
    <w:rsid w:val="00E34CD5"/>
    <w:rsid w:val="00E353BF"/>
    <w:rsid w:val="00E553CA"/>
    <w:rsid w:val="00E60832"/>
    <w:rsid w:val="00E61C6E"/>
    <w:rsid w:val="00E70384"/>
    <w:rsid w:val="00E7634B"/>
    <w:rsid w:val="00EA28C7"/>
    <w:rsid w:val="00ED356B"/>
    <w:rsid w:val="00ED6FB5"/>
    <w:rsid w:val="00EE79E8"/>
    <w:rsid w:val="00EF11EF"/>
    <w:rsid w:val="00EF3A29"/>
    <w:rsid w:val="00EF7B50"/>
    <w:rsid w:val="00F00F26"/>
    <w:rsid w:val="00F11ACC"/>
    <w:rsid w:val="00F138FA"/>
    <w:rsid w:val="00F305FB"/>
    <w:rsid w:val="00F30742"/>
    <w:rsid w:val="00F43390"/>
    <w:rsid w:val="00F5296A"/>
    <w:rsid w:val="00F72CD9"/>
    <w:rsid w:val="00F7791B"/>
    <w:rsid w:val="00F82A62"/>
    <w:rsid w:val="00F82D81"/>
    <w:rsid w:val="00F96D1C"/>
    <w:rsid w:val="00FB0C5D"/>
    <w:rsid w:val="00FB3D0B"/>
    <w:rsid w:val="00FC2906"/>
    <w:rsid w:val="00FC5F30"/>
    <w:rsid w:val="00FC7F7B"/>
    <w:rsid w:val="00FD2FB7"/>
    <w:rsid w:val="00FD4185"/>
    <w:rsid w:val="00FD7791"/>
    <w:rsid w:val="00FE2C41"/>
    <w:rsid w:val="00FF2355"/>
    <w:rsid w:val="03605B2B"/>
    <w:rsid w:val="06BF57ED"/>
    <w:rsid w:val="07942CE6"/>
    <w:rsid w:val="088B5525"/>
    <w:rsid w:val="08AA7D7D"/>
    <w:rsid w:val="0A4E2674"/>
    <w:rsid w:val="0F554B5A"/>
    <w:rsid w:val="18873599"/>
    <w:rsid w:val="19727A08"/>
    <w:rsid w:val="1B1D6F5A"/>
    <w:rsid w:val="1C442C51"/>
    <w:rsid w:val="1DC24F9A"/>
    <w:rsid w:val="20B954DA"/>
    <w:rsid w:val="22063947"/>
    <w:rsid w:val="25974E59"/>
    <w:rsid w:val="260B79A2"/>
    <w:rsid w:val="26266229"/>
    <w:rsid w:val="295B2DEC"/>
    <w:rsid w:val="2FB5799F"/>
    <w:rsid w:val="320F4D9B"/>
    <w:rsid w:val="339E6573"/>
    <w:rsid w:val="389E00A4"/>
    <w:rsid w:val="3AEC43A8"/>
    <w:rsid w:val="3AF77222"/>
    <w:rsid w:val="3F1C0BCF"/>
    <w:rsid w:val="41D23E46"/>
    <w:rsid w:val="428155B6"/>
    <w:rsid w:val="45C57431"/>
    <w:rsid w:val="46B41D9E"/>
    <w:rsid w:val="4706368B"/>
    <w:rsid w:val="49874FB1"/>
    <w:rsid w:val="4AA16EC6"/>
    <w:rsid w:val="509D6294"/>
    <w:rsid w:val="539E448E"/>
    <w:rsid w:val="56127CD9"/>
    <w:rsid w:val="573664A4"/>
    <w:rsid w:val="592F136A"/>
    <w:rsid w:val="59633DCD"/>
    <w:rsid w:val="59666823"/>
    <w:rsid w:val="59CF67EC"/>
    <w:rsid w:val="5B3F508F"/>
    <w:rsid w:val="5C4131A4"/>
    <w:rsid w:val="5DFB70AF"/>
    <w:rsid w:val="5E3E3823"/>
    <w:rsid w:val="636D28D2"/>
    <w:rsid w:val="656F3766"/>
    <w:rsid w:val="685B4680"/>
    <w:rsid w:val="6A0D2C2F"/>
    <w:rsid w:val="6DC26FF5"/>
    <w:rsid w:val="6ED95550"/>
    <w:rsid w:val="6F3434CF"/>
    <w:rsid w:val="6FE567D6"/>
    <w:rsid w:val="70E15767"/>
    <w:rsid w:val="71242CFE"/>
    <w:rsid w:val="742B44C5"/>
    <w:rsid w:val="774A4CC8"/>
    <w:rsid w:val="785A27D3"/>
    <w:rsid w:val="794D00D2"/>
    <w:rsid w:val="7969230F"/>
    <w:rsid w:val="7C5A0E7C"/>
    <w:rsid w:val="DFFEB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kern w:val="0"/>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批注框文本 Char"/>
    <w:link w:val="2"/>
    <w:semiHidden/>
    <w:qFormat/>
    <w:uiPriority w:val="99"/>
    <w:rPr>
      <w:rFonts w:ascii="Times New Roman" w:hAnsi="Times New Roman"/>
      <w:kern w:val="2"/>
      <w:sz w:val="18"/>
      <w:szCs w:val="18"/>
    </w:rPr>
  </w:style>
  <w:style w:type="character" w:customStyle="1" w:styleId="9">
    <w:name w:val="页脚 Char"/>
    <w:link w:val="3"/>
    <w:qFormat/>
    <w:uiPriority w:val="99"/>
    <w:rPr>
      <w:rFonts w:ascii="Times New Roman" w:hAnsi="Times New Roman" w:eastAsia="宋体" w:cs="Times New Roman"/>
      <w:sz w:val="18"/>
      <w:szCs w:val="18"/>
    </w:rPr>
  </w:style>
  <w:style w:type="character" w:customStyle="1" w:styleId="10">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321</Words>
  <Characters>1832</Characters>
  <Lines>15</Lines>
  <Paragraphs>4</Paragraphs>
  <TotalTime>15</TotalTime>
  <ScaleCrop>false</ScaleCrop>
  <LinksUpToDate>false</LinksUpToDate>
  <CharactersWithSpaces>2149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2021-02-01T14:19:00Z</dcterms:created>
  <dc:creator>[厅办公室][修宗睿]</dc:creator>
  <cp:lastModifiedBy>Administrator</cp:lastModifiedBy>
  <cp:lastPrinted>2020-04-14T09:56:00Z</cp:lastPrinted>
  <dcterms:modified xsi:type="dcterms:W3CDTF">2022-03-14T02:42:08Z</dcterms:modified>
  <dc:title>河北省财政厅文件</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B39360C11AA74E03A5A06649952042F9</vt:lpwstr>
  </property>
</Properties>
</file>