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9000" w:type="dxa"/>
        <w:jc w:val="center"/>
        <w:tblLayout w:type="fixed"/>
        <w:tblCellMar>
          <w:top w:w="0" w:type="dxa"/>
          <w:left w:w="108" w:type="dxa"/>
          <w:bottom w:w="0" w:type="dxa"/>
          <w:right w:w="108" w:type="dxa"/>
        </w:tblCellMar>
      </w:tblPr>
      <w:tblGrid>
        <w:gridCol w:w="582"/>
        <w:gridCol w:w="972"/>
        <w:gridCol w:w="1102"/>
        <w:gridCol w:w="723"/>
        <w:gridCol w:w="1124"/>
        <w:gridCol w:w="282"/>
        <w:gridCol w:w="842"/>
        <w:gridCol w:w="843"/>
        <w:gridCol w:w="281"/>
        <w:gridCol w:w="281"/>
        <w:gridCol w:w="421"/>
        <w:gridCol w:w="454"/>
        <w:gridCol w:w="389"/>
        <w:gridCol w:w="704"/>
      </w:tblGrid>
      <w:tr>
        <w:tblPrEx>
          <w:tblCellMar>
            <w:top w:w="0" w:type="dxa"/>
            <w:left w:w="108" w:type="dxa"/>
            <w:bottom w:w="0" w:type="dxa"/>
            <w:right w:w="108" w:type="dxa"/>
          </w:tblCellMar>
        </w:tblPrEx>
        <w:trPr>
          <w:trHeight w:val="270" w:hRule="exact"/>
          <w:jc w:val="center"/>
        </w:trPr>
        <w:tc>
          <w:tcPr>
            <w:tcW w:w="900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227" w:hRule="atLeast"/>
          <w:jc w:val="center"/>
        </w:trPr>
        <w:tc>
          <w:tcPr>
            <w:tcW w:w="900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ascii="宋体" w:hAnsi="宋体" w:cs="宋体"/>
                <w:kern w:val="0"/>
                <w:sz w:val="22"/>
                <w:szCs w:val="22"/>
              </w:rPr>
              <w:t>202</w:t>
            </w:r>
            <w:r>
              <w:rPr>
                <w:rFonts w:hint="eastAsia" w:ascii="宋体" w:hAnsi="宋体" w:cs="宋体"/>
                <w:kern w:val="0"/>
                <w:sz w:val="22"/>
                <w:szCs w:val="22"/>
                <w:lang w:val="en-US" w:eastAsia="zh-CN"/>
              </w:rPr>
              <w:t>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0" w:hRule="exact"/>
          <w:jc w:val="center"/>
        </w:trPr>
        <w:tc>
          <w:tcPr>
            <w:tcW w:w="15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44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离任村两委正职补贴</w:t>
            </w:r>
          </w:p>
        </w:tc>
      </w:tr>
      <w:tr>
        <w:tblPrEx>
          <w:tblCellMar>
            <w:top w:w="0" w:type="dxa"/>
            <w:left w:w="108" w:type="dxa"/>
            <w:bottom w:w="0" w:type="dxa"/>
            <w:right w:w="108" w:type="dxa"/>
          </w:tblCellMar>
        </w:tblPrEx>
        <w:trPr>
          <w:trHeight w:val="270" w:hRule="exact"/>
          <w:jc w:val="center"/>
        </w:trPr>
        <w:tc>
          <w:tcPr>
            <w:tcW w:w="15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7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4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270" w:hRule="exact"/>
          <w:jc w:val="center"/>
        </w:trPr>
        <w:tc>
          <w:tcPr>
            <w:tcW w:w="155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0" w:hRule="exact"/>
          <w:jc w:val="center"/>
        </w:trPr>
        <w:tc>
          <w:tcPr>
            <w:tcW w:w="1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3.24</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3.24</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3.17</w:t>
            </w: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r>
      <w:tr>
        <w:tblPrEx>
          <w:tblCellMar>
            <w:top w:w="0" w:type="dxa"/>
            <w:left w:w="108" w:type="dxa"/>
            <w:bottom w:w="0" w:type="dxa"/>
            <w:right w:w="108" w:type="dxa"/>
          </w:tblCellMar>
        </w:tblPrEx>
        <w:trPr>
          <w:trHeight w:val="270" w:hRule="exact"/>
          <w:jc w:val="center"/>
        </w:trPr>
        <w:tc>
          <w:tcPr>
            <w:tcW w:w="1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1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1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58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4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7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0" w:hRule="exact"/>
          <w:jc w:val="center"/>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4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color w:val="000000"/>
                <w:sz w:val="20"/>
                <w:szCs w:val="20"/>
              </w:rPr>
              <w:t>完成离任村两委正职补贴的使用</w:t>
            </w:r>
          </w:p>
        </w:tc>
        <w:tc>
          <w:tcPr>
            <w:tcW w:w="337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98%</w:t>
            </w:r>
          </w:p>
        </w:tc>
      </w:tr>
      <w:tr>
        <w:tblPrEx>
          <w:tblCellMar>
            <w:top w:w="0" w:type="dxa"/>
            <w:left w:w="108" w:type="dxa"/>
            <w:bottom w:w="0" w:type="dxa"/>
            <w:right w:w="108" w:type="dxa"/>
          </w:tblCellMar>
        </w:tblPrEx>
        <w:trPr>
          <w:trHeight w:val="270" w:hRule="exact"/>
          <w:jc w:val="center"/>
        </w:trPr>
        <w:tc>
          <w:tcPr>
            <w:tcW w:w="582"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离任村两委9人</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指标1：按</w:t>
            </w:r>
            <w:r>
              <w:rPr>
                <w:rFonts w:hint="eastAsia" w:ascii="宋体" w:hAnsi="宋体" w:cs="宋体"/>
                <w:color w:val="000000"/>
                <w:kern w:val="0"/>
                <w:sz w:val="18"/>
                <w:szCs w:val="18"/>
                <w:lang w:val="en-US" w:eastAsia="zh-CN"/>
              </w:rPr>
              <w:t>时发放</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85"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i w:val="0"/>
                <w:color w:val="000000"/>
                <w:kern w:val="0"/>
                <w:sz w:val="18"/>
                <w:szCs w:val="18"/>
                <w:u w:val="none"/>
                <w:lang w:val="en-US" w:eastAsia="zh-CN" w:bidi="ar"/>
              </w:rPr>
              <w:t>年底发放村两委工资3.24万元</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r>
              <w:rPr>
                <w:rFonts w:hint="eastAsia" w:ascii="宋体" w:hAnsi="宋体" w:eastAsia="宋体" w:cs="宋体"/>
                <w:i w:val="0"/>
                <w:color w:val="000000"/>
                <w:kern w:val="0"/>
                <w:sz w:val="16"/>
                <w:szCs w:val="16"/>
                <w:u w:val="none"/>
                <w:lang w:val="en-US" w:eastAsia="zh-CN" w:bidi="ar"/>
              </w:rPr>
              <w:t>村</w:t>
            </w:r>
            <w:r>
              <w:rPr>
                <w:rFonts w:hint="eastAsia" w:ascii="宋体" w:hAnsi="宋体" w:cs="宋体"/>
                <w:i w:val="0"/>
                <w:color w:val="000000"/>
                <w:kern w:val="0"/>
                <w:sz w:val="16"/>
                <w:szCs w:val="16"/>
                <w:u w:val="none"/>
                <w:lang w:val="en-US" w:eastAsia="zh-CN" w:bidi="ar"/>
              </w:rPr>
              <w:t>两委</w:t>
            </w:r>
            <w:r>
              <w:rPr>
                <w:rFonts w:hint="eastAsia" w:ascii="宋体" w:hAnsi="宋体" w:eastAsia="宋体" w:cs="宋体"/>
                <w:i w:val="0"/>
                <w:color w:val="000000"/>
                <w:kern w:val="0"/>
                <w:sz w:val="16"/>
                <w:szCs w:val="16"/>
                <w:u w:val="none"/>
                <w:lang w:val="en-US" w:eastAsia="zh-CN" w:bidi="ar"/>
              </w:rPr>
              <w:t>工资发放率</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保障离任村两委正职补贴率</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村</w:t>
            </w:r>
            <w:r>
              <w:rPr>
                <w:rFonts w:hint="eastAsia" w:ascii="宋体" w:hAnsi="宋体" w:cs="宋体"/>
                <w:i w:val="0"/>
                <w:color w:val="000000"/>
                <w:kern w:val="0"/>
                <w:sz w:val="18"/>
                <w:szCs w:val="18"/>
                <w:u w:val="none"/>
                <w:lang w:val="en-US" w:eastAsia="zh-CN" w:bidi="ar"/>
              </w:rPr>
              <w:t>两委</w:t>
            </w:r>
            <w:r>
              <w:rPr>
                <w:rFonts w:hint="eastAsia" w:ascii="宋体" w:hAnsi="宋体" w:eastAsia="宋体" w:cs="宋体"/>
                <w:i w:val="0"/>
                <w:color w:val="000000"/>
                <w:kern w:val="0"/>
                <w:sz w:val="18"/>
                <w:szCs w:val="18"/>
                <w:u w:val="none"/>
                <w:lang w:val="en-US" w:eastAsia="zh-CN" w:bidi="ar"/>
              </w:rPr>
              <w:t>工资保障率</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47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color w:val="auto"/>
          <w:sz w:val="32"/>
          <w:szCs w:val="32"/>
        </w:rPr>
      </w:pPr>
      <w:r>
        <w:rPr>
          <w:rFonts w:hint="eastAsia" w:ascii="黑体" w:hAnsi="黑体" w:eastAsia="黑体"/>
          <w:color w:val="auto"/>
          <w:sz w:val="32"/>
          <w:szCs w:val="32"/>
        </w:rPr>
        <w:t>一、基本情况</w:t>
      </w:r>
    </w:p>
    <w:p>
      <w:pPr>
        <w:pStyle w:val="6"/>
        <w:spacing w:before="0" w:beforeAutospacing="0" w:after="0" w:afterAutospacing="0" w:line="480" w:lineRule="auto"/>
        <w:ind w:firstLine="480"/>
        <w:jc w:val="both"/>
        <w:rPr>
          <w:rFonts w:ascii="仿宋" w:hAnsi="仿宋" w:eastAsia="仿宋"/>
          <w:color w:val="auto"/>
          <w:sz w:val="32"/>
          <w:szCs w:val="32"/>
        </w:rPr>
      </w:pPr>
      <w:r>
        <w:rPr>
          <w:rFonts w:hint="eastAsia" w:ascii="仿宋" w:hAnsi="仿宋" w:eastAsia="仿宋"/>
          <w:color w:val="auto"/>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主要职责：按照冀组发【2018】14号印发《关于提高村级组织运转保障水平的意见》的通知文件要求，从2019年1月1日起，正常离任村干部生活补贴采取按任职年限补助的形式，每月补助20元。</w:t>
      </w:r>
      <w:r>
        <w:rPr>
          <w:rFonts w:hint="eastAsia" w:ascii="仿宋" w:hAnsi="仿宋" w:eastAsia="仿宋"/>
          <w:color w:val="auto"/>
          <w:sz w:val="32"/>
          <w:szCs w:val="32"/>
          <w:lang w:val="en-US" w:eastAsia="zh-CN"/>
        </w:rPr>
        <w:t>负责辖区离任村两委工资发放，</w:t>
      </w:r>
      <w:r>
        <w:rPr>
          <w:rFonts w:hint="eastAsia" w:ascii="仿宋" w:hAnsi="仿宋" w:eastAsia="仿宋"/>
          <w:color w:val="auto"/>
          <w:sz w:val="32"/>
          <w:szCs w:val="32"/>
        </w:rPr>
        <w:t>全部纳入2</w:t>
      </w:r>
      <w:r>
        <w:rPr>
          <w:rFonts w:ascii="仿宋" w:hAnsi="仿宋" w:eastAsia="仿宋"/>
          <w:color w:val="auto"/>
          <w:sz w:val="32"/>
          <w:szCs w:val="32"/>
        </w:rPr>
        <w:t>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20</w:t>
      </w:r>
      <w:r>
        <w:rPr>
          <w:rFonts w:ascii="仿宋" w:hAnsi="仿宋" w:eastAsia="仿宋"/>
          <w:color w:val="auto"/>
          <w:sz w:val="32"/>
          <w:szCs w:val="32"/>
        </w:rPr>
        <w:t>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年支出预算</w:t>
      </w:r>
      <w:r>
        <w:rPr>
          <w:rFonts w:hint="eastAsia" w:ascii="仿宋" w:hAnsi="仿宋" w:eastAsia="仿宋"/>
          <w:color w:val="auto"/>
          <w:sz w:val="32"/>
          <w:szCs w:val="32"/>
          <w:lang w:val="en-US" w:eastAsia="zh-CN"/>
        </w:rPr>
        <w:t>3.24</w:t>
      </w:r>
      <w:r>
        <w:rPr>
          <w:rFonts w:hint="eastAsia" w:ascii="仿宋" w:hAnsi="仿宋" w:eastAsia="仿宋"/>
          <w:color w:val="auto"/>
          <w:sz w:val="32"/>
          <w:szCs w:val="32"/>
        </w:rPr>
        <w:t>万元。</w:t>
      </w:r>
      <w:r>
        <w:rPr>
          <w:rFonts w:hint="eastAsia" w:ascii="仿宋" w:hAnsi="仿宋" w:eastAsia="仿宋"/>
          <w:color w:val="auto"/>
          <w:sz w:val="32"/>
          <w:szCs w:val="32"/>
          <w:shd w:val="clear" w:color="auto" w:fill="FFFFFF"/>
        </w:rPr>
        <w:t>主要用于</w:t>
      </w:r>
      <w:r>
        <w:rPr>
          <w:rFonts w:hint="eastAsia" w:ascii="仿宋" w:hAnsi="仿宋" w:eastAsia="仿宋"/>
          <w:color w:val="auto"/>
          <w:sz w:val="32"/>
          <w:szCs w:val="32"/>
          <w:lang w:val="en-US" w:eastAsia="zh-CN"/>
        </w:rPr>
        <w:t>辖区离任村两委工资发放</w:t>
      </w:r>
      <w:r>
        <w:rPr>
          <w:rFonts w:hint="eastAsia" w:ascii="仿宋" w:hAnsi="仿宋" w:eastAsia="仿宋"/>
          <w:color w:val="auto"/>
          <w:sz w:val="32"/>
          <w:szCs w:val="32"/>
          <w:shd w:val="clear" w:color="auto" w:fill="FFFFFF"/>
        </w:rPr>
        <w:t>工作。</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（二）项目绩效目标。</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1、项目绩效目标：</w:t>
      </w:r>
      <w:r>
        <w:rPr>
          <w:rFonts w:hint="eastAsia" w:ascii="仿宋" w:hAnsi="仿宋" w:eastAsia="仿宋"/>
          <w:color w:val="auto"/>
          <w:sz w:val="32"/>
          <w:szCs w:val="32"/>
          <w:lang w:val="en-US" w:eastAsia="zh-CN"/>
        </w:rPr>
        <w:t>12月份将离任村干部工资发放卡中。</w:t>
      </w:r>
    </w:p>
    <w:p>
      <w:pPr>
        <w:pBdr>
          <w:top w:val="none" w:color="auto" w:sz="0" w:space="0"/>
          <w:left w:val="none" w:color="auto" w:sz="0" w:space="0"/>
          <w:bottom w:val="none" w:color="auto" w:sz="0" w:space="0"/>
          <w:right w:val="none" w:color="auto" w:sz="0" w:space="0"/>
          <w:between w:val="none" w:color="auto" w:sz="0" w:space="0"/>
        </w:pBdr>
        <w:spacing w:line="600" w:lineRule="exact"/>
        <w:ind w:firstLine="640" w:firstLineChars="200"/>
        <w:rPr>
          <w:rFonts w:ascii="黑体" w:hAnsi="黑体" w:eastAsia="黑体"/>
          <w:color w:val="auto"/>
          <w:sz w:val="32"/>
          <w:szCs w:val="32"/>
        </w:rPr>
      </w:pPr>
      <w:r>
        <w:rPr>
          <w:rFonts w:hint="eastAsia" w:ascii="黑体" w:hAnsi="黑体" w:eastAsia="黑体"/>
          <w:color w:val="auto"/>
          <w:sz w:val="32"/>
          <w:szCs w:val="32"/>
        </w:rPr>
        <w:t>二、绩效评价工作开展情况</w:t>
      </w:r>
    </w:p>
    <w:p>
      <w:pPr>
        <w:widowControl/>
        <w:shd w:val="clear" w:color="auto" w:fill="FFFFFF"/>
        <w:spacing w:line="480" w:lineRule="auto"/>
        <w:ind w:firstLine="640" w:firstLineChars="200"/>
        <w:rPr>
          <w:rFonts w:ascii="仿宋" w:hAnsi="仿宋" w:eastAsia="仿宋" w:cs="宋体"/>
          <w:color w:val="auto"/>
          <w:kern w:val="0"/>
          <w:sz w:val="32"/>
          <w:szCs w:val="32"/>
        </w:rPr>
      </w:pPr>
      <w:r>
        <w:rPr>
          <w:rFonts w:hint="eastAsia" w:ascii="仿宋" w:hAnsi="仿宋" w:eastAsia="仿宋"/>
          <w:color w:val="auto"/>
          <w:sz w:val="32"/>
          <w:szCs w:val="32"/>
        </w:rPr>
        <w:t>按照冀组发【2018】14号印发《关于提高村级组织运转保障水平的意见》的通知文件要求，从2019年1月1日起，正常离任村干部生活补贴采取按任职年限补助的形式，每月补助20元。</w:t>
      </w:r>
      <w:r>
        <w:rPr>
          <w:rFonts w:hint="eastAsia" w:ascii="仿宋" w:hAnsi="仿宋" w:eastAsia="仿宋" w:cs="宋体"/>
          <w:color w:val="auto"/>
          <w:kern w:val="0"/>
          <w:sz w:val="32"/>
          <w:szCs w:val="32"/>
          <w:lang w:val="en-US" w:eastAsia="zh-CN"/>
        </w:rPr>
        <w:t>保证12月底前</w:t>
      </w:r>
      <w:r>
        <w:rPr>
          <w:rFonts w:hint="eastAsia" w:ascii="仿宋" w:hAnsi="仿宋" w:eastAsia="仿宋"/>
          <w:color w:val="auto"/>
          <w:sz w:val="32"/>
          <w:szCs w:val="32"/>
          <w:lang w:val="en-US" w:eastAsia="zh-CN"/>
        </w:rPr>
        <w:t>将离任村两委工资</w:t>
      </w:r>
      <w:r>
        <w:rPr>
          <w:rFonts w:hint="eastAsia" w:ascii="仿宋" w:hAnsi="仿宋" w:eastAsia="仿宋" w:cs="宋体"/>
          <w:color w:val="auto"/>
          <w:kern w:val="0"/>
          <w:sz w:val="32"/>
          <w:szCs w:val="32"/>
          <w:lang w:val="en-US" w:eastAsia="zh-CN"/>
        </w:rPr>
        <w:t>及时发放至个人卡中，</w:t>
      </w:r>
      <w:r>
        <w:rPr>
          <w:rFonts w:hint="eastAsia" w:ascii="仿宋" w:hAnsi="仿宋" w:eastAsia="仿宋" w:cs="宋体"/>
          <w:color w:val="auto"/>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val="en-US" w:eastAsia="zh-CN"/>
        </w:rPr>
        <w:t>离任村两委正职补贴</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val="en-US" w:eastAsia="zh-CN"/>
        </w:rPr>
        <w:t>离任村两委正职补贴</w:t>
      </w:r>
      <w:r>
        <w:rPr>
          <w:rFonts w:ascii="仿宋" w:hAnsi="仿宋" w:eastAsia="仿宋"/>
          <w:sz w:val="32"/>
          <w:szCs w:val="32"/>
        </w:rPr>
        <w:t>工作项目绩效评价为：优（</w:t>
      </w:r>
      <w:r>
        <w:rPr>
          <w:rFonts w:hint="eastAsia" w:ascii="仿宋" w:hAnsi="仿宋" w:eastAsia="仿宋"/>
          <w:sz w:val="32"/>
          <w:szCs w:val="32"/>
          <w:lang w:val="en-US" w:eastAsia="zh-CN"/>
        </w:rPr>
        <w:t>98</w:t>
      </w:r>
      <w:r>
        <w:rPr>
          <w:rFonts w:ascii="仿宋" w:hAnsi="仿宋" w:eastAsia="仿宋"/>
          <w:sz w:val="32"/>
          <w:szCs w:val="32"/>
        </w:rPr>
        <w:t>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认真贯彻落实省、市</w:t>
      </w:r>
      <w:r>
        <w:rPr>
          <w:rFonts w:hint="eastAsia" w:ascii="仿宋" w:hAnsi="仿宋" w:eastAsia="仿宋" w:cs="宋体"/>
          <w:color w:val="auto"/>
          <w:kern w:val="0"/>
          <w:sz w:val="32"/>
          <w:szCs w:val="32"/>
          <w:lang w:val="en-US" w:eastAsia="zh-CN"/>
        </w:rPr>
        <w:t>《关于调整村“两委”干部基础职务补贴标准的通知》</w:t>
      </w:r>
      <w:r>
        <w:rPr>
          <w:rFonts w:hint="eastAsia" w:ascii="仿宋" w:hAnsi="仿宋" w:eastAsia="仿宋" w:cs="仿宋"/>
          <w:color w:val="auto"/>
          <w:sz w:val="32"/>
          <w:szCs w:val="32"/>
          <w:lang w:val="en-US" w:eastAsia="zh-CN"/>
        </w:rPr>
        <w:t>文件</w:t>
      </w:r>
      <w:r>
        <w:rPr>
          <w:rFonts w:hint="eastAsia" w:ascii="仿宋" w:hAnsi="仿宋" w:eastAsia="仿宋" w:cs="仿宋"/>
          <w:color w:val="auto"/>
          <w:sz w:val="32"/>
          <w:szCs w:val="32"/>
        </w:rPr>
        <w:t>精神，</w:t>
      </w:r>
      <w:r>
        <w:rPr>
          <w:rFonts w:hint="eastAsia" w:ascii="仿宋" w:hAnsi="仿宋" w:eastAsia="仿宋" w:cs="宋体"/>
          <w:color w:val="auto"/>
          <w:kern w:val="0"/>
          <w:sz w:val="32"/>
          <w:szCs w:val="32"/>
          <w:lang w:val="en-US" w:eastAsia="zh-CN"/>
        </w:rPr>
        <w:t>保证12月底前</w:t>
      </w:r>
      <w:r>
        <w:rPr>
          <w:rFonts w:hint="eastAsia" w:ascii="仿宋" w:hAnsi="仿宋" w:eastAsia="仿宋"/>
          <w:color w:val="auto"/>
          <w:sz w:val="32"/>
          <w:szCs w:val="32"/>
          <w:lang w:val="en-US" w:eastAsia="zh-CN"/>
        </w:rPr>
        <w:t>将离任村两委工资</w:t>
      </w:r>
      <w:r>
        <w:rPr>
          <w:rFonts w:hint="eastAsia" w:ascii="仿宋" w:hAnsi="仿宋" w:eastAsia="仿宋" w:cs="宋体"/>
          <w:color w:val="auto"/>
          <w:kern w:val="0"/>
          <w:sz w:val="32"/>
          <w:szCs w:val="32"/>
          <w:lang w:val="en-US" w:eastAsia="zh-CN"/>
        </w:rPr>
        <w:t>及时发放至个人卡中，</w:t>
      </w:r>
      <w:r>
        <w:rPr>
          <w:rFonts w:hint="eastAsia" w:ascii="仿宋" w:hAnsi="仿宋" w:eastAsia="仿宋" w:cs="宋体"/>
          <w:color w:val="auto"/>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3.24</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3.17</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98</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3.17</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我区共有离任村两委干部9人，按文件要求发放离任村两委村干部工资3.17万</w:t>
      </w:r>
      <w:bookmarkStart w:id="0" w:name="_GoBack"/>
      <w:bookmarkEnd w:id="0"/>
      <w:r>
        <w:rPr>
          <w:rFonts w:hint="eastAsia" w:ascii="仿宋" w:hAnsi="仿宋" w:eastAsia="仿宋"/>
          <w:sz w:val="32"/>
          <w:szCs w:val="32"/>
          <w:lang w:val="en-US" w:eastAsia="zh-CN"/>
        </w:rPr>
        <w:t>元</w:t>
      </w:r>
      <w:r>
        <w:rPr>
          <w:rFonts w:hint="eastAsia" w:ascii="仿宋" w:hAnsi="仿宋" w:eastAsia="仿宋"/>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及时按文件要求对离任村两委干部工资进行调整，确保离任村两委干部工资得到保障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AA7D7D"/>
    <w:rsid w:val="0A4E2674"/>
    <w:rsid w:val="0F554B5A"/>
    <w:rsid w:val="18873599"/>
    <w:rsid w:val="19727A08"/>
    <w:rsid w:val="1C442C51"/>
    <w:rsid w:val="1DC24F9A"/>
    <w:rsid w:val="20B954DA"/>
    <w:rsid w:val="22063947"/>
    <w:rsid w:val="25974E59"/>
    <w:rsid w:val="265479D2"/>
    <w:rsid w:val="295B2DEC"/>
    <w:rsid w:val="2F0559E5"/>
    <w:rsid w:val="320F4D9B"/>
    <w:rsid w:val="339E6573"/>
    <w:rsid w:val="34D47A8B"/>
    <w:rsid w:val="37ED1DD1"/>
    <w:rsid w:val="389E00A4"/>
    <w:rsid w:val="3AEC43A8"/>
    <w:rsid w:val="3F1C0BCF"/>
    <w:rsid w:val="40B87FBB"/>
    <w:rsid w:val="428155B6"/>
    <w:rsid w:val="448756DF"/>
    <w:rsid w:val="45C57431"/>
    <w:rsid w:val="46B41D9E"/>
    <w:rsid w:val="483E70A8"/>
    <w:rsid w:val="49874FB1"/>
    <w:rsid w:val="4AA16EC6"/>
    <w:rsid w:val="539E448E"/>
    <w:rsid w:val="56127CD9"/>
    <w:rsid w:val="59633DCD"/>
    <w:rsid w:val="59666823"/>
    <w:rsid w:val="5B3F508F"/>
    <w:rsid w:val="5C4131A4"/>
    <w:rsid w:val="5CD647DC"/>
    <w:rsid w:val="5DFB70AF"/>
    <w:rsid w:val="5F4374A4"/>
    <w:rsid w:val="656F3766"/>
    <w:rsid w:val="685B4680"/>
    <w:rsid w:val="6DC26FF5"/>
    <w:rsid w:val="6ED95550"/>
    <w:rsid w:val="6F3434CF"/>
    <w:rsid w:val="6FE567D6"/>
    <w:rsid w:val="742B44C5"/>
    <w:rsid w:val="785A27D3"/>
    <w:rsid w:val="792B262C"/>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392</Words>
  <Characters>2236</Characters>
  <Lines>18</Lines>
  <Paragraphs>5</Paragraphs>
  <TotalTime>1</TotalTime>
  <ScaleCrop>false</ScaleCrop>
  <LinksUpToDate>false</LinksUpToDate>
  <CharactersWithSpaces>2623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2022-03-03T01:54:38Z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4C4A12F2773F4FC9973BBB4F9A7A0BDE</vt:lpwstr>
  </property>
</Properties>
</file>