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980" w:type="dxa"/>
        <w:jc w:val="center"/>
        <w:tblLayout w:type="fixed"/>
        <w:tblCellMar>
          <w:top w:w="0" w:type="dxa"/>
          <w:left w:w="108" w:type="dxa"/>
          <w:bottom w:w="0" w:type="dxa"/>
          <w:right w:w="108" w:type="dxa"/>
        </w:tblCellMar>
      </w:tblPr>
      <w:tblGrid>
        <w:gridCol w:w="580"/>
        <w:gridCol w:w="969"/>
        <w:gridCol w:w="1098"/>
        <w:gridCol w:w="722"/>
        <w:gridCol w:w="1121"/>
        <w:gridCol w:w="393"/>
        <w:gridCol w:w="730"/>
        <w:gridCol w:w="841"/>
        <w:gridCol w:w="280"/>
        <w:gridCol w:w="280"/>
        <w:gridCol w:w="420"/>
        <w:gridCol w:w="140"/>
        <w:gridCol w:w="701"/>
        <w:gridCol w:w="705"/>
      </w:tblGrid>
      <w:tr>
        <w:tblPrEx>
          <w:tblCellMar>
            <w:top w:w="0" w:type="dxa"/>
            <w:left w:w="108" w:type="dxa"/>
            <w:bottom w:w="0" w:type="dxa"/>
            <w:right w:w="108" w:type="dxa"/>
          </w:tblCellMar>
        </w:tblPrEx>
        <w:trPr>
          <w:trHeight w:val="264" w:hRule="exact"/>
          <w:jc w:val="center"/>
        </w:trPr>
        <w:tc>
          <w:tcPr>
            <w:tcW w:w="89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00" w:hRule="atLeast"/>
          <w:jc w:val="center"/>
        </w:trPr>
        <w:tc>
          <w:tcPr>
            <w:tcW w:w="89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4" w:hRule="exact"/>
          <w:jc w:val="center"/>
        </w:trPr>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3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教育支出</w:t>
            </w:r>
          </w:p>
        </w:tc>
      </w:tr>
      <w:tr>
        <w:tblPrEx>
          <w:tblCellMar>
            <w:top w:w="0" w:type="dxa"/>
            <w:left w:w="108" w:type="dxa"/>
            <w:bottom w:w="0" w:type="dxa"/>
            <w:right w:w="108" w:type="dxa"/>
          </w:tblCellMar>
        </w:tblPrEx>
        <w:trPr>
          <w:trHeight w:val="264" w:hRule="exact"/>
          <w:jc w:val="center"/>
        </w:trPr>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154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2.74</w:t>
            </w: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5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3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6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4" w:hRule="exact"/>
          <w:jc w:val="center"/>
        </w:trPr>
        <w:tc>
          <w:tcPr>
            <w:tcW w:w="5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3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按时完成教龄补贴发放</w:t>
            </w:r>
          </w:p>
        </w:tc>
        <w:tc>
          <w:tcPr>
            <w:tcW w:w="336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64" w:hRule="exact"/>
          <w:jc w:val="center"/>
        </w:trPr>
        <w:tc>
          <w:tcPr>
            <w:tcW w:w="5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5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36"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39"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2.8万元以内</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4" w:hRule="exact"/>
          <w:jc w:val="center"/>
        </w:trPr>
        <w:tc>
          <w:tcPr>
            <w:tcW w:w="645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名称：教育支出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：教龄补助发放以及教育其他支出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2.74万元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全年执行数：2.74万元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 xml:space="preserve">    为我区</w:t>
      </w:r>
      <w:r>
        <w:rPr>
          <w:rFonts w:hint="eastAsia" w:ascii="仿宋_GB2312" w:eastAsia="仿宋_GB2312"/>
          <w:sz w:val="32"/>
          <w:szCs w:val="32"/>
          <w:lang w:eastAsia="zh-CN"/>
        </w:rPr>
        <w:t>教龄补助发放，以及教育其他支出的费用</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2.74万元以内，按实际情况完成发放,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2.74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2.74</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2.74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bookmarkStart w:id="0" w:name="_GoBack"/>
      <w:bookmarkEnd w:id="0"/>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保证我区教龄人群的生活质量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16B59F0"/>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2022-03-09T08:38:02Z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