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5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879"/>
        <w:gridCol w:w="94"/>
        <w:gridCol w:w="785"/>
        <w:gridCol w:w="1043"/>
        <w:gridCol w:w="1125"/>
        <w:gridCol w:w="508"/>
        <w:gridCol w:w="950"/>
        <w:gridCol w:w="987"/>
        <w:gridCol w:w="511"/>
        <w:gridCol w:w="166"/>
        <w:gridCol w:w="678"/>
        <w:gridCol w:w="12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5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5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6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城镇低保支出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15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4.384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4.384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3.844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87%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35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4.384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3.844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7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6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名称：城镇低保支出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：为我区城镇低保人员发放保障金和物价补贴、取暖费等临时补助。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4.384万元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全年执行数：3.844万元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每月及时准确发放生活保障金，保障低保人员基本生活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:城镇低保支出3.844万元。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已完成为辖区城镇低保户每月发放生活保障金，预算执行率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87%，得分8.7，绩效指标得分87，总分87。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3.844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万元，受益人群18人，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96D3E23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ADF1120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4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2022-03-09T08:51:06Z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8959990CF37840A49336466724674F1B</vt:lpwstr>
  </property>
</Properties>
</file>