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520" w:type="dxa"/>
        <w:jc w:val="center"/>
        <w:tblLayout w:type="fixed"/>
        <w:tblCellMar>
          <w:top w:w="0" w:type="dxa"/>
          <w:left w:w="108" w:type="dxa"/>
          <w:bottom w:w="0" w:type="dxa"/>
          <w:right w:w="108" w:type="dxa"/>
        </w:tblCellMar>
      </w:tblPr>
      <w:tblGrid>
        <w:gridCol w:w="551"/>
        <w:gridCol w:w="919"/>
        <w:gridCol w:w="1042"/>
        <w:gridCol w:w="685"/>
        <w:gridCol w:w="1063"/>
        <w:gridCol w:w="267"/>
        <w:gridCol w:w="798"/>
        <w:gridCol w:w="797"/>
        <w:gridCol w:w="266"/>
        <w:gridCol w:w="265"/>
        <w:gridCol w:w="400"/>
        <w:gridCol w:w="131"/>
        <w:gridCol w:w="666"/>
        <w:gridCol w:w="670"/>
      </w:tblGrid>
      <w:tr>
        <w:tblPrEx>
          <w:tblCellMar>
            <w:top w:w="0" w:type="dxa"/>
            <w:left w:w="108" w:type="dxa"/>
            <w:bottom w:w="0" w:type="dxa"/>
            <w:right w:w="108" w:type="dxa"/>
          </w:tblCellMar>
        </w:tblPrEx>
        <w:trPr>
          <w:trHeight w:val="274" w:hRule="exact"/>
          <w:jc w:val="center"/>
        </w:trPr>
        <w:tc>
          <w:tcPr>
            <w:tcW w:w="852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（信访科）项目支出绩效自评表</w:t>
            </w:r>
          </w:p>
        </w:tc>
      </w:tr>
      <w:tr>
        <w:tblPrEx>
          <w:tblCellMar>
            <w:top w:w="0" w:type="dxa"/>
            <w:left w:w="108" w:type="dxa"/>
            <w:bottom w:w="0" w:type="dxa"/>
            <w:right w:w="108" w:type="dxa"/>
          </w:tblCellMar>
        </w:tblPrEx>
        <w:trPr>
          <w:trHeight w:val="1245" w:hRule="atLeast"/>
          <w:jc w:val="center"/>
        </w:trPr>
        <w:tc>
          <w:tcPr>
            <w:tcW w:w="852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w:t>
            </w:r>
            <w:r>
              <w:rPr>
                <w:rFonts w:hint="eastAsia" w:ascii="宋体" w:hAnsi="宋体" w:cs="宋体"/>
                <w:kern w:val="0"/>
                <w:sz w:val="22"/>
                <w:szCs w:val="22"/>
                <w:lang w:val="en-US" w:eastAsia="zh-CN"/>
              </w:rPr>
              <w:t>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4" w:hRule="exact"/>
          <w:jc w:val="center"/>
        </w:trPr>
        <w:tc>
          <w:tcPr>
            <w:tcW w:w="14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50"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信访费用</w:t>
            </w:r>
          </w:p>
        </w:tc>
      </w:tr>
      <w:tr>
        <w:tblPrEx>
          <w:tblCellMar>
            <w:top w:w="0" w:type="dxa"/>
            <w:left w:w="108" w:type="dxa"/>
            <w:bottom w:w="0" w:type="dxa"/>
            <w:right w:w="108" w:type="dxa"/>
          </w:tblCellMar>
        </w:tblPrEx>
        <w:trPr>
          <w:trHeight w:val="274" w:hRule="exact"/>
          <w:jc w:val="center"/>
        </w:trPr>
        <w:tc>
          <w:tcPr>
            <w:tcW w:w="14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信访科</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3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4" w:hRule="exact"/>
          <w:jc w:val="center"/>
        </w:trPr>
        <w:tc>
          <w:tcPr>
            <w:tcW w:w="147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0</w:t>
            </w: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0</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5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7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9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4" w:hRule="exact"/>
          <w:jc w:val="center"/>
        </w:trPr>
        <w:tc>
          <w:tcPr>
            <w:tcW w:w="5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7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19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指标1：一季度14天5人、二季度14天2人、三季度24天3人、四季22天度2人</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指标1：按预计预算使用</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指标1：驻京维稳、辖区维稳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指标1：驻京、辖区维稳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指标1：安抚、劝解，调查走访</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指标1：持续做好信访维稳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w:t>
            </w:r>
            <w:r>
              <w:rPr>
                <w:rFonts w:ascii="宋体" w:hAnsi="宋体" w:cs="宋体"/>
                <w:kern w:val="0"/>
                <w:sz w:val="18"/>
                <w:szCs w:val="18"/>
              </w:rPr>
              <w:t>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w:t>
            </w:r>
            <w:r>
              <w:rPr>
                <w:rFonts w:ascii="宋体" w:hAnsi="宋体" w:cs="宋体"/>
                <w:kern w:val="0"/>
                <w:sz w:val="18"/>
                <w:szCs w:val="18"/>
              </w:rPr>
              <w:t>0</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5" w:hRule="exact"/>
          <w:jc w:val="center"/>
        </w:trPr>
        <w:tc>
          <w:tcPr>
            <w:tcW w:w="612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3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信访科项目支出绩效评价报告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受理、交办、转送信访人提出的信访事项；承办上级和本级人民政府交由处理的信访事项；协调处理重要信访事项；督促检查信访事项的处理；研究、分析信访情况，开展调查研究，负责把信访件快速往下转送。内设机构：信访办公室、信访接待中心。全部纳入2</w:t>
      </w:r>
      <w:r>
        <w:rPr>
          <w:rFonts w:ascii="仿宋" w:hAnsi="仿宋" w:eastAsia="仿宋"/>
          <w:color w:val="333333"/>
          <w:sz w:val="32"/>
          <w:szCs w:val="32"/>
        </w:rPr>
        <w:t>02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年支出预算</w:t>
      </w:r>
      <w:r>
        <w:rPr>
          <w:rFonts w:ascii="仿宋" w:hAnsi="仿宋" w:eastAsia="仿宋"/>
          <w:color w:val="333333"/>
          <w:sz w:val="32"/>
          <w:szCs w:val="32"/>
        </w:rPr>
        <w:t>1</w:t>
      </w:r>
      <w:r>
        <w:rPr>
          <w:rFonts w:hint="eastAsia" w:ascii="仿宋" w:hAnsi="仿宋" w:eastAsia="仿宋"/>
          <w:color w:val="333333"/>
          <w:sz w:val="32"/>
          <w:szCs w:val="32"/>
          <w:lang w:val="en-US" w:eastAsia="zh-CN"/>
        </w:rPr>
        <w:t>0</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主要用于复查复核、信访事件办理、打印、协调、通讯、重大会议活动维稳、缴纳驻京驻长工作经费、重点信访对象稳控及困难帮扶、赴省进京接访劝返等工作。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1、项目绩效目标：做好两会、日常驻京、国庆、春节期间驻京维稳工作。</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xml:space="preserve">、阶段性目标：认真做好进京、赴省、来市上访的接待处理工作，引导群众依法逐级上访；有效化解信访问题，多措并举化解积案，确保到省进京非访下降，不发生责任时间、严防恶性事件；认真抓好复查复核工作，确保申请、受理、办理决定等环节履职到位。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认真贯彻落实习近平新时代中国特色社会主义思想和党的十九大精神，自觉践行习近平总书记关于加强和改进人民信访工作的重要思想，围绕“事要解决”这一信访工作主线，以“四重攻坚”“千案攻坚”为主抓手，以维护社会稳定为主攻方向，务实担当，攻坚克难，全力化解信访突出问题，2</w:t>
      </w:r>
      <w:r>
        <w:rPr>
          <w:rFonts w:ascii="仿宋" w:hAnsi="仿宋" w:eastAsia="仿宋" w:cs="宋体"/>
          <w:color w:val="auto"/>
          <w:kern w:val="0"/>
          <w:sz w:val="32"/>
          <w:szCs w:val="32"/>
        </w:rPr>
        <w:t>02</w:t>
      </w:r>
      <w:r>
        <w:rPr>
          <w:rFonts w:hint="eastAsia" w:ascii="仿宋" w:hAnsi="仿宋" w:eastAsia="仿宋" w:cs="宋体"/>
          <w:color w:val="auto"/>
          <w:kern w:val="0"/>
          <w:sz w:val="32"/>
          <w:szCs w:val="32"/>
          <w:lang w:val="en-US" w:eastAsia="zh-CN"/>
        </w:rPr>
        <w:t>1</w:t>
      </w:r>
      <w:r>
        <w:rPr>
          <w:rFonts w:hint="eastAsia" w:ascii="仿宋" w:hAnsi="仿宋" w:eastAsia="仿宋" w:cs="宋体"/>
          <w:color w:val="auto"/>
          <w:kern w:val="0"/>
          <w:sz w:val="32"/>
          <w:szCs w:val="32"/>
        </w:rPr>
        <w:t>年，我区共受理群众来信来访197件，其中上级交办件28件；三岛访18件；唐山市市民公共服务热线151件。信访结案率98％；群众满意度95％，大量矛盾纠纷被吸附化解在当地，到市、赴省、进京访与去年基本持平，总体平稳可控。</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各项专项资金都安排责任人，按专项资金的用途专款专用。</w:t>
      </w:r>
    </w:p>
    <w:p>
      <w:pPr>
        <w:widowControl/>
        <w:shd w:val="clear" w:color="auto" w:fill="FFFFFF"/>
        <w:spacing w:line="480" w:lineRule="auto"/>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年信访工作项目绩效目标明确，资金到位及时，项目实施过程中严格按照市有关项目管理和经费管理规定执行。全年差旅人次达 12 人次以上，差旅目的达成率 95%以上; 信访矛 盾攻坚化解率 90%以上; 信访事项按期办结率 90%以上;信访事 项及时受理率 90%以上。 经评价，202</w:t>
      </w:r>
      <w:r>
        <w:rPr>
          <w:rFonts w:hint="eastAsia" w:ascii="仿宋" w:hAnsi="仿宋" w:eastAsia="仿宋"/>
          <w:sz w:val="32"/>
          <w:szCs w:val="32"/>
          <w:lang w:val="en-US" w:eastAsia="zh-CN"/>
        </w:rPr>
        <w:t>1</w:t>
      </w:r>
      <w:r>
        <w:rPr>
          <w:rFonts w:ascii="仿宋" w:hAnsi="仿宋" w:eastAsia="仿宋"/>
          <w:sz w:val="32"/>
          <w:szCs w:val="32"/>
        </w:rPr>
        <w:t>年信访工作项目绩效评价为：优（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中央、省、市关于做好新时期信访工作的指示精神，紧紧围绕改革、发展、稳定大局和构建和谐社会的总体目标，深入研究新时期新形势下信访工作面临的新情况新问题，采取了一系列行之有效的措施把大量矛盾和问题处置在当地，化解在基层，圆满完成了“两会”国庆、日常驻京、春节期间等敏感时段的信访稳定工作。我区共受理群众来信来访197件，其中上级交办件28件；三岛访18件；唐山市市民公共服务热线151件。信访结案率98％；群众满意度95％，全区信访态势总体趋于平稳。</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项目申报资金1</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万元，实际到位资金1</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万元，资金到位率100%，2020年实际使用资金10万元，资金使用率</w:t>
      </w:r>
      <w:r>
        <w:rPr>
          <w:rFonts w:hint="eastAsia" w:ascii="仿宋" w:hAnsi="仿宋" w:eastAsia="仿宋" w:cs="宋体"/>
          <w:kern w:val="0"/>
          <w:sz w:val="32"/>
          <w:szCs w:val="32"/>
          <w:lang w:val="en-US" w:eastAsia="zh-CN"/>
        </w:rPr>
        <w:t>10</w:t>
      </w:r>
      <w:bookmarkStart w:id="0" w:name="_GoBack"/>
      <w:bookmarkEnd w:id="0"/>
      <w:r>
        <w:rPr>
          <w:rFonts w:ascii="仿宋" w:hAnsi="仿宋" w:eastAsia="仿宋" w:cs="宋体"/>
          <w:kern w:val="0"/>
          <w:sz w:val="32"/>
          <w:szCs w:val="32"/>
        </w:rPr>
        <w:t>0%。</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保障了两会、日常驻京、国庆、春节期间驻京维稳工作，第一季度14天5人（约3400元/天）、第二季度14天2人（约1360元/天）、第三季度24天3人（约2040元/天）、第四季22天度2人（约1360元/天）。</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确保了对进京上访的人员进行安抚、劝解，对辖区发生的信访事件进行调查走访、做好维稳的工作；加大工作力度，做到全力抓受理，“桩桩有人管”、突出抓办理，“件件有着落”、着力抓反馈，“事事有回音”。</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ascii="仿宋" w:hAnsi="仿宋" w:eastAsia="仿宋"/>
          <w:sz w:val="32"/>
          <w:szCs w:val="32"/>
        </w:rPr>
      </w:pPr>
      <w:r>
        <w:rPr>
          <w:rFonts w:ascii="仿宋" w:hAnsi="仿宋" w:eastAsia="仿宋"/>
          <w:sz w:val="32"/>
          <w:szCs w:val="32"/>
        </w:rPr>
        <w:t>（二）存在问题及建议</w:t>
      </w:r>
      <w:r>
        <w:rPr>
          <w:rFonts w:hint="eastAsia" w:ascii="仿宋" w:hAnsi="仿宋" w:eastAsia="仿宋"/>
          <w:sz w:val="32"/>
          <w:szCs w:val="32"/>
        </w:rPr>
        <w:t>：</w:t>
      </w:r>
      <w:r>
        <w:rPr>
          <w:rFonts w:ascii="仿宋" w:hAnsi="仿宋" w:eastAsia="仿宋"/>
          <w:sz w:val="32"/>
          <w:szCs w:val="32"/>
        </w:rPr>
        <w:t xml:space="preserve"> 信访工作项目主要用于受理信访事项、差旅、宣传等信访综合事务性工作，单项资金量小而分散，纳入项目绩效评价进行 量化时不易操作。</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0C501F"/>
    <w:rsid w:val="06BF57ED"/>
    <w:rsid w:val="07942CE6"/>
    <w:rsid w:val="08AA7D7D"/>
    <w:rsid w:val="0A4E2674"/>
    <w:rsid w:val="0F554B5A"/>
    <w:rsid w:val="18873599"/>
    <w:rsid w:val="19727A08"/>
    <w:rsid w:val="1C442C51"/>
    <w:rsid w:val="1DC24F9A"/>
    <w:rsid w:val="20B954DA"/>
    <w:rsid w:val="22063947"/>
    <w:rsid w:val="25974E59"/>
    <w:rsid w:val="265479D2"/>
    <w:rsid w:val="295B2DEC"/>
    <w:rsid w:val="320F4D9B"/>
    <w:rsid w:val="339E6573"/>
    <w:rsid w:val="37ED1DD1"/>
    <w:rsid w:val="389E00A4"/>
    <w:rsid w:val="3AEC43A8"/>
    <w:rsid w:val="3F1C0BCF"/>
    <w:rsid w:val="40B87FBB"/>
    <w:rsid w:val="428155B6"/>
    <w:rsid w:val="448756DF"/>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semiHidden/>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TotalTime>492</TotalTime>
  <ScaleCrop>false</ScaleCrop>
  <LinksUpToDate>false</LinksUpToDate>
  <CharactersWithSpaces>2623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2022-03-14T02:43:40Z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A79005DAD6B340FC9AC8635948A7B468</vt:lpwstr>
  </property>
</Properties>
</file>