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default" w:ascii="宋体" w:hAnsi="宋体" w:cs="宋体"/>
          <w:b/>
          <w:bCs/>
          <w:sz w:val="36"/>
          <w:szCs w:val="36"/>
          <w:lang w:val="en-US" w:eastAsia="zh-CN"/>
        </w:rPr>
      </w:pPr>
      <w:r>
        <w:rPr>
          <w:rFonts w:hint="eastAsia" w:ascii="宋体" w:hAnsi="宋体" w:cs="宋体"/>
          <w:b/>
          <w:bCs/>
          <w:sz w:val="36"/>
          <w:szCs w:val="36"/>
          <w:lang w:val="en-US" w:eastAsia="zh-CN"/>
        </w:rPr>
        <w:t>垃圾分类设施购置项目</w:t>
      </w:r>
    </w:p>
    <w:p>
      <w:pPr>
        <w:spacing w:line="580" w:lineRule="exact"/>
        <w:jc w:val="center"/>
        <w:rPr>
          <w:rFonts w:hint="eastAsia" w:ascii="宋体" w:hAnsi="宋体" w:eastAsia="宋体" w:cs="宋体"/>
          <w:b/>
          <w:bCs/>
          <w:sz w:val="36"/>
          <w:szCs w:val="36"/>
          <w:lang w:eastAsia="zh-CN"/>
        </w:rPr>
      </w:pPr>
      <w:r>
        <w:rPr>
          <w:rFonts w:hint="eastAsia" w:ascii="宋体" w:hAnsi="宋体" w:eastAsia="宋体" w:cs="宋体"/>
          <w:b/>
          <w:bCs/>
          <w:sz w:val="36"/>
          <w:szCs w:val="36"/>
          <w:lang w:eastAsia="zh-CN"/>
        </w:rPr>
        <w:t>支出绩效评价报告</w:t>
      </w:r>
    </w:p>
    <w:p>
      <w:pPr>
        <w:spacing w:line="580" w:lineRule="exact"/>
        <w:jc w:val="center"/>
        <w:rPr>
          <w:rFonts w:hint="eastAsia" w:ascii="仿宋_GB2312" w:eastAsia="仿宋_GB2312"/>
          <w:b/>
          <w:bCs/>
          <w:sz w:val="40"/>
          <w:szCs w:val="40"/>
          <w:lang w:eastAsia="zh-CN"/>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bookmarkStart w:id="0" w:name="_GoBack"/>
      <w:bookmarkEnd w:id="0"/>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以争创国家级旅游度假区为引领，以打造国际知名海岛旅游目的地为目标，全力实施生态旅游岛建设，努力建成高质量发展示范区</w:t>
      </w:r>
      <w:r>
        <w:rPr>
          <w:rFonts w:hint="eastAsia" w:ascii="仿宋_GB2312" w:eastAsia="仿宋_GB2312"/>
          <w:sz w:val="32"/>
          <w:szCs w:val="32"/>
          <w:lang w:val="en-US" w:eastAsia="zh-CN"/>
        </w:rPr>
        <w:t>为目标</w:t>
      </w:r>
      <w:r>
        <w:rPr>
          <w:rFonts w:hint="eastAsia" w:ascii="仿宋_GB2312" w:eastAsia="仿宋_GB2312"/>
          <w:sz w:val="32"/>
          <w:szCs w:val="32"/>
        </w:rPr>
        <w:t>，</w:t>
      </w:r>
      <w:r>
        <w:rPr>
          <w:rFonts w:hint="eastAsia" w:ascii="仿宋_GB2312" w:eastAsia="仿宋_GB2312"/>
          <w:sz w:val="32"/>
          <w:szCs w:val="32"/>
          <w:lang w:val="en-US" w:eastAsia="zh-CN"/>
        </w:rPr>
        <w:t>设</w:t>
      </w:r>
      <w:r>
        <w:rPr>
          <w:rFonts w:hint="eastAsia" w:ascii="仿宋_GB2312" w:eastAsia="仿宋_GB2312"/>
          <w:sz w:val="32"/>
          <w:szCs w:val="32"/>
        </w:rPr>
        <w:t>立</w:t>
      </w:r>
      <w:r>
        <w:rPr>
          <w:rFonts w:hint="eastAsia" w:ascii="仿宋_GB2312" w:eastAsia="仿宋_GB2312"/>
          <w:sz w:val="32"/>
          <w:szCs w:val="32"/>
          <w:lang w:val="en-US" w:eastAsia="zh-CN"/>
        </w:rPr>
        <w:t>的本</w:t>
      </w:r>
      <w:r>
        <w:rPr>
          <w:rFonts w:hint="eastAsia" w:ascii="仿宋_GB2312" w:eastAsia="仿宋_GB2312"/>
          <w:sz w:val="32"/>
          <w:szCs w:val="32"/>
        </w:rPr>
        <w:t>项目。垃圾分类设施购置</w:t>
      </w:r>
      <w:r>
        <w:rPr>
          <w:rFonts w:hint="eastAsia" w:ascii="仿宋_GB2312" w:eastAsia="仿宋_GB2312"/>
          <w:sz w:val="32"/>
          <w:szCs w:val="32"/>
          <w:lang w:val="en-US" w:eastAsia="zh-CN"/>
        </w:rPr>
        <w:t>项目是</w:t>
      </w:r>
      <w:r>
        <w:rPr>
          <w:rFonts w:hint="eastAsia" w:ascii="仿宋_GB2312" w:eastAsia="仿宋_GB2312"/>
          <w:sz w:val="32"/>
          <w:szCs w:val="32"/>
        </w:rPr>
        <w:t>按照生活垃圾分类工作部署，用于垃圾分类四分类垃圾箱、</w:t>
      </w:r>
      <w:r>
        <w:rPr>
          <w:rFonts w:hint="eastAsia" w:ascii="仿宋_GB2312" w:eastAsia="仿宋_GB2312"/>
          <w:sz w:val="32"/>
          <w:szCs w:val="32"/>
          <w:lang w:val="en-US" w:eastAsia="zh-CN"/>
        </w:rPr>
        <w:t>垃圾</w:t>
      </w:r>
      <w:r>
        <w:rPr>
          <w:rFonts w:hint="eastAsia" w:ascii="仿宋_GB2312" w:eastAsia="仿宋_GB2312"/>
          <w:sz w:val="32"/>
          <w:szCs w:val="32"/>
        </w:rPr>
        <w:t>分类</w:t>
      </w:r>
      <w:r>
        <w:rPr>
          <w:rFonts w:hint="eastAsia" w:ascii="仿宋_GB2312" w:eastAsia="仿宋_GB2312"/>
          <w:sz w:val="32"/>
          <w:szCs w:val="32"/>
          <w:lang w:val="en-US" w:eastAsia="zh-CN"/>
        </w:rPr>
        <w:t>集中投放点等</w:t>
      </w:r>
      <w:r>
        <w:rPr>
          <w:rFonts w:hint="eastAsia" w:ascii="仿宋_GB2312" w:eastAsia="仿宋_GB2312"/>
          <w:sz w:val="32"/>
          <w:szCs w:val="32"/>
        </w:rPr>
        <w:t>垃圾分类配套设施的购置</w:t>
      </w:r>
      <w:r>
        <w:rPr>
          <w:rFonts w:hint="eastAsia" w:ascii="仿宋_GB2312" w:eastAsia="仿宋_GB2312"/>
          <w:sz w:val="32"/>
          <w:szCs w:val="32"/>
          <w:lang w:val="en-US" w:eastAsia="zh-CN"/>
        </w:rPr>
        <w:t>和建设。2021年项目总投入4万元，其中财政拨款4万元。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numPr>
          <w:ilvl w:val="0"/>
          <w:numId w:val="0"/>
        </w:numPr>
        <w:spacing w:line="600" w:lineRule="exact"/>
        <w:ind w:firstLine="640" w:firstLineChars="200"/>
        <w:rPr>
          <w:rFonts w:ascii="仿宋_GB2312" w:eastAsia="仿宋_GB2312"/>
          <w:sz w:val="32"/>
          <w:szCs w:val="32"/>
        </w:rPr>
      </w:pPr>
      <w:r>
        <w:rPr>
          <w:rFonts w:hint="eastAsia" w:ascii="仿宋_GB2312" w:eastAsia="仿宋_GB2312"/>
          <w:sz w:val="32"/>
          <w:szCs w:val="32"/>
        </w:rPr>
        <w:t>通过项目实施，完成垃圾分类设施购置，加强引导加快建设分类投放、分类收集、分类运输、分类处理的垃圾处理系统，实现生活垃圾减量化、资源化和无害化</w:t>
      </w:r>
      <w:r>
        <w:rPr>
          <w:rFonts w:hint="eastAsia" w:ascii="仿宋_GB2312" w:eastAsia="仿宋_GB2312"/>
          <w:sz w:val="32"/>
          <w:szCs w:val="32"/>
          <w:lang w:eastAsia="zh-CN"/>
        </w:rPr>
        <w:t>；</w:t>
      </w:r>
      <w:r>
        <w:rPr>
          <w:rFonts w:hint="eastAsia" w:ascii="仿宋_GB2312" w:eastAsia="仿宋_GB2312"/>
          <w:sz w:val="32"/>
          <w:szCs w:val="32"/>
        </w:rPr>
        <w:t>保证区域垃圾分类工作顺利开展，提高辖区</w:t>
      </w:r>
      <w:r>
        <w:rPr>
          <w:rFonts w:hint="eastAsia" w:ascii="仿宋_GB2312" w:eastAsia="仿宋_GB2312"/>
          <w:sz w:val="32"/>
          <w:szCs w:val="32"/>
          <w:lang w:val="en-US" w:eastAsia="zh-CN"/>
        </w:rPr>
        <w:t>旅游区</w:t>
      </w:r>
      <w:r>
        <w:rPr>
          <w:rFonts w:hint="eastAsia" w:ascii="仿宋_GB2312" w:eastAsia="仿宋_GB2312"/>
          <w:sz w:val="32"/>
          <w:szCs w:val="32"/>
        </w:rPr>
        <w:t>环境。</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（一）绩效评价目的、对象和范围。</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1、评价目的：通过对2021年垃圾分类设施购置项目的指标设计和量化分析，从项目的决策、过程、产出、效益等方面，全面评价项目的完成情况、取得的效益等，加强和改进预算管理，提高经费的使用效益。</w:t>
      </w:r>
    </w:p>
    <w:p>
      <w:pPr>
        <w:numPr>
          <w:ilvl w:val="0"/>
          <w:numId w:val="2"/>
        </w:num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评价对象：2021年</w:t>
      </w:r>
      <w:r>
        <w:rPr>
          <w:rFonts w:hint="eastAsia" w:ascii="仿宋_GB2312" w:eastAsia="仿宋_GB2312"/>
          <w:sz w:val="32"/>
          <w:szCs w:val="32"/>
        </w:rPr>
        <w:t>垃圾分类设施购置</w:t>
      </w:r>
      <w:r>
        <w:rPr>
          <w:rFonts w:hint="eastAsia" w:ascii="仿宋_GB2312" w:eastAsia="仿宋_GB2312"/>
          <w:sz w:val="32"/>
          <w:szCs w:val="32"/>
          <w:lang w:val="en-US" w:eastAsia="zh-CN"/>
        </w:rPr>
        <w:t>费。</w:t>
      </w:r>
    </w:p>
    <w:p>
      <w:pPr>
        <w:numPr>
          <w:ilvl w:val="0"/>
          <w:numId w:val="0"/>
        </w:num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3、评价范围：2021年垃圾分类设施购置费项目专项资金4万元的使用、管理及项目完成产生的效益。</w:t>
      </w:r>
    </w:p>
    <w:p>
      <w:pPr>
        <w:numPr>
          <w:ilvl w:val="0"/>
          <w:numId w:val="0"/>
        </w:num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三</w:t>
      </w:r>
      <w:r>
        <w:rPr>
          <w:rFonts w:hint="eastAsia" w:ascii="仿宋_GB2312" w:eastAsia="仿宋_GB2312"/>
          <w:sz w:val="32"/>
          <w:szCs w:val="32"/>
          <w:lang w:eastAsia="zh-CN"/>
        </w:rPr>
        <w:t>）</w:t>
      </w:r>
      <w:r>
        <w:rPr>
          <w:rFonts w:hint="eastAsia" w:ascii="仿宋_GB2312" w:eastAsia="仿宋_GB2312"/>
          <w:sz w:val="32"/>
          <w:szCs w:val="32"/>
        </w:rPr>
        <w:t>绩效评价原则、评价指标体系（附</w:t>
      </w:r>
      <w:r>
        <w:rPr>
          <w:rFonts w:hint="eastAsia" w:ascii="仿宋_GB2312" w:eastAsia="仿宋_GB2312"/>
          <w:sz w:val="32"/>
          <w:szCs w:val="32"/>
          <w:lang w:eastAsia="zh-CN"/>
        </w:rPr>
        <w:t>件</w:t>
      </w:r>
      <w:r>
        <w:rPr>
          <w:rFonts w:hint="eastAsia" w:ascii="仿宋_GB2312" w:eastAsia="仿宋_GB2312"/>
          <w:sz w:val="32"/>
          <w:szCs w:val="32"/>
        </w:rPr>
        <w:t>）、评价方法、评价标准等。</w:t>
      </w:r>
    </w:p>
    <w:p>
      <w:pPr>
        <w:numPr>
          <w:ilvl w:val="0"/>
          <w:numId w:val="0"/>
        </w:num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本次绩效评价指标体系以《项目支出绩效评价指标体系》为基础，我们结合该项目的特点进一步细化评价指标，评价指标体系包括决策、过程、产出、效益四个方面，下设二、三级指标，总分值设定为 100 分</w:t>
      </w:r>
      <w:r>
        <w:rPr>
          <w:rFonts w:hint="eastAsia" w:ascii="仿宋_GB2312" w:eastAsia="仿宋_GB2312"/>
          <w:sz w:val="32"/>
          <w:szCs w:val="32"/>
          <w:lang w:eastAsia="zh-CN"/>
        </w:rPr>
        <w:t>。</w:t>
      </w:r>
    </w:p>
    <w:p>
      <w:pPr>
        <w:numPr>
          <w:ilvl w:val="0"/>
          <w:numId w:val="0"/>
        </w:num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评价工作组针对该项目的特点和评价工作的要求，采用了比较法、因素分析法、统计计算法等方法，对</w:t>
      </w:r>
      <w:r>
        <w:rPr>
          <w:rFonts w:hint="eastAsia" w:ascii="仿宋_GB2312" w:eastAsia="仿宋_GB2312"/>
          <w:sz w:val="32"/>
          <w:szCs w:val="32"/>
          <w:lang w:val="en-US" w:eastAsia="zh-CN"/>
        </w:rPr>
        <w:t>垃圾分类设施购置费</w:t>
      </w:r>
      <w:r>
        <w:rPr>
          <w:rFonts w:hint="eastAsia" w:ascii="仿宋_GB2312" w:eastAsia="仿宋_GB2312"/>
          <w:sz w:val="32"/>
          <w:szCs w:val="32"/>
        </w:rPr>
        <w:t>进行绩效评价分析。</w:t>
      </w:r>
    </w:p>
    <w:p>
      <w:pPr>
        <w:numPr>
          <w:ilvl w:val="0"/>
          <w:numId w:val="0"/>
        </w:numPr>
        <w:spacing w:line="600" w:lineRule="exact"/>
        <w:ind w:firstLine="640" w:firstLineChars="200"/>
        <w:jc w:val="both"/>
        <w:rPr>
          <w:rFonts w:ascii="仿宋_GB2312" w:eastAsia="仿宋_GB2312"/>
          <w:sz w:val="32"/>
          <w:szCs w:val="32"/>
        </w:rPr>
      </w:pPr>
      <w:r>
        <w:rPr>
          <w:rFonts w:hint="eastAsia" w:ascii="仿宋_GB2312" w:eastAsia="仿宋_GB2312"/>
          <w:sz w:val="32"/>
          <w:szCs w:val="32"/>
        </w:rPr>
        <w:t>本次评价标准是依据绩效评价基本原理，分别按照计划标准、行业标准等制定。项目最终评价结果包括评分和评级，等级分定为四级：优秀：得分高于 90 分（含 90 分）；良好：得分 80 分—90 分（含 80 分）；中：得分 60 分—80 分（含60 分)；差：得分 60 分以下。</w:t>
      </w:r>
    </w:p>
    <w:p>
      <w:pPr>
        <w:numPr>
          <w:ilvl w:val="0"/>
          <w:numId w:val="1"/>
        </w:numPr>
        <w:spacing w:line="600" w:lineRule="exact"/>
        <w:ind w:left="0" w:leftChars="0" w:firstLine="640" w:firstLineChars="200"/>
        <w:jc w:val="both"/>
        <w:rPr>
          <w:rFonts w:hint="eastAsia" w:ascii="仿宋_GB2312" w:eastAsia="仿宋_GB2312"/>
          <w:sz w:val="32"/>
          <w:szCs w:val="32"/>
        </w:rPr>
      </w:pPr>
      <w:r>
        <w:rPr>
          <w:rFonts w:hint="eastAsia" w:ascii="仿宋_GB2312" w:eastAsia="仿宋_GB2312"/>
          <w:sz w:val="32"/>
          <w:szCs w:val="32"/>
        </w:rPr>
        <w:t>绩效评价工作过程。</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为实现绩效评价工作，我局</w:t>
      </w:r>
      <w:r>
        <w:rPr>
          <w:rFonts w:hint="eastAsia" w:ascii="仿宋_GB2312" w:eastAsia="仿宋_GB2312"/>
          <w:sz w:val="32"/>
          <w:szCs w:val="32"/>
          <w:lang w:val="en-US" w:eastAsia="zh-CN"/>
        </w:rPr>
        <w:t>专门</w:t>
      </w:r>
      <w:r>
        <w:rPr>
          <w:rFonts w:hint="eastAsia" w:ascii="仿宋_GB2312" w:eastAsia="仿宋_GB2312"/>
          <w:sz w:val="32"/>
          <w:szCs w:val="32"/>
        </w:rPr>
        <w:t>成立评价小组并安排专门人员负责</w:t>
      </w:r>
      <w:r>
        <w:rPr>
          <w:rFonts w:hint="eastAsia" w:ascii="仿宋_GB2312" w:eastAsia="仿宋_GB2312"/>
          <w:sz w:val="32"/>
          <w:szCs w:val="32"/>
          <w:lang w:val="en-US" w:eastAsia="zh-CN"/>
        </w:rPr>
        <w:t>2021</w:t>
      </w:r>
      <w:r>
        <w:rPr>
          <w:rFonts w:hint="eastAsia" w:ascii="仿宋_GB2312" w:eastAsia="仿宋_GB2312"/>
          <w:sz w:val="32"/>
          <w:szCs w:val="32"/>
        </w:rPr>
        <w:t>年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三、综合评价情况及评价结论</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eastAsia="zh-CN"/>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spacing w:line="600" w:lineRule="exact"/>
        <w:ind w:firstLine="640" w:firstLineChars="200"/>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项目绩效评价小组一致认为，2021年垃圾分类设施购置项目立项规范，产生了良好的效益，有效保障了辖区生活垃圾分类工作的顺利开展，有效提高了城市宜居度。经过科学评估2021年垃圾分类设施购置项目绩效评估得分96分，评价等级结果为优。</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项目立项符合城市</w:t>
      </w:r>
      <w:r>
        <w:rPr>
          <w:rFonts w:hint="eastAsia" w:ascii="仿宋_GB2312" w:eastAsia="仿宋_GB2312"/>
          <w:sz w:val="32"/>
          <w:szCs w:val="32"/>
          <w:lang w:val="en-US" w:eastAsia="zh-CN"/>
        </w:rPr>
        <w:t>生活垃圾分类</w:t>
      </w:r>
      <w:r>
        <w:rPr>
          <w:rFonts w:hint="eastAsia" w:ascii="仿宋_GB2312" w:eastAsia="仿宋_GB2312"/>
          <w:sz w:val="32"/>
          <w:szCs w:val="32"/>
        </w:rPr>
        <w:t>发展规划，与部门职责范围相符，预算编制经过科学论证，预算内容与项目实际支付内容相匹配，资金分配合理。</w:t>
      </w:r>
    </w:p>
    <w:p>
      <w:pPr>
        <w:numPr>
          <w:ilvl w:val="0"/>
          <w:numId w:val="0"/>
        </w:numPr>
        <w:tabs>
          <w:tab w:val="left" w:pos="1228"/>
        </w:tabs>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二</w:t>
      </w:r>
      <w:r>
        <w:rPr>
          <w:rFonts w:hint="eastAsia" w:ascii="仿宋_GB2312" w:eastAsia="仿宋_GB2312"/>
          <w:sz w:val="32"/>
          <w:szCs w:val="32"/>
          <w:lang w:eastAsia="zh-CN"/>
        </w:rPr>
        <w:t>）</w:t>
      </w:r>
      <w:r>
        <w:rPr>
          <w:rFonts w:hint="eastAsia" w:ascii="仿宋_GB2312" w:eastAsia="仿宋_GB2312"/>
          <w:sz w:val="32"/>
          <w:szCs w:val="32"/>
        </w:rPr>
        <w:t>项目过程情况。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val="en-US" w:eastAsia="zh-CN"/>
        </w:rPr>
        <w:t>2021</w:t>
      </w:r>
      <w:r>
        <w:rPr>
          <w:rFonts w:hint="eastAsia" w:ascii="仿宋_GB2312" w:eastAsia="仿宋_GB2312"/>
          <w:sz w:val="32"/>
          <w:szCs w:val="32"/>
        </w:rPr>
        <w:t>年度项目预算资金</w:t>
      </w:r>
      <w:r>
        <w:rPr>
          <w:rFonts w:hint="eastAsia" w:ascii="仿宋_GB2312" w:eastAsia="仿宋_GB2312"/>
          <w:sz w:val="32"/>
          <w:szCs w:val="32"/>
          <w:lang w:val="en-US" w:eastAsia="zh-CN"/>
        </w:rPr>
        <w:t>4</w:t>
      </w:r>
      <w:r>
        <w:rPr>
          <w:rFonts w:hint="eastAsia" w:ascii="仿宋_GB2312" w:eastAsia="仿宋_GB2312"/>
          <w:sz w:val="32"/>
          <w:szCs w:val="32"/>
        </w:rPr>
        <w:t>万元，到位资金</w:t>
      </w:r>
      <w:r>
        <w:rPr>
          <w:rFonts w:hint="eastAsia" w:ascii="仿宋_GB2312" w:eastAsia="仿宋_GB2312"/>
          <w:sz w:val="32"/>
          <w:szCs w:val="32"/>
          <w:lang w:val="en-US" w:eastAsia="zh-CN"/>
        </w:rPr>
        <w:t>4</w:t>
      </w:r>
      <w:r>
        <w:rPr>
          <w:rFonts w:hint="eastAsia" w:ascii="仿宋_GB2312" w:eastAsia="仿宋_GB2312"/>
          <w:sz w:val="32"/>
          <w:szCs w:val="32"/>
        </w:rPr>
        <w:t>万元，资金到位率</w:t>
      </w:r>
      <w:r>
        <w:rPr>
          <w:rFonts w:hint="eastAsia" w:ascii="仿宋_GB2312" w:eastAsia="仿宋_GB2312"/>
          <w:sz w:val="32"/>
          <w:szCs w:val="32"/>
          <w:lang w:val="en-US" w:eastAsia="zh-CN"/>
        </w:rPr>
        <w:t>100</w:t>
      </w:r>
      <w:r>
        <w:rPr>
          <w:rFonts w:hint="eastAsia" w:ascii="仿宋_GB2312" w:eastAsia="仿宋_GB2312"/>
          <w:sz w:val="32"/>
          <w:szCs w:val="32"/>
        </w:rPr>
        <w:t>%，实际支出资金</w:t>
      </w:r>
      <w:r>
        <w:rPr>
          <w:rFonts w:hint="eastAsia" w:ascii="仿宋_GB2312" w:eastAsia="仿宋_GB2312"/>
          <w:sz w:val="32"/>
          <w:szCs w:val="32"/>
          <w:lang w:val="en-US" w:eastAsia="zh-CN"/>
        </w:rPr>
        <w:t>4</w:t>
      </w:r>
      <w:r>
        <w:rPr>
          <w:rFonts w:hint="eastAsia" w:ascii="仿宋_GB2312" w:eastAsia="仿宋_GB2312"/>
          <w:sz w:val="32"/>
          <w:szCs w:val="32"/>
        </w:rPr>
        <w:t>万元，预算执行率</w:t>
      </w:r>
      <w:r>
        <w:rPr>
          <w:rFonts w:hint="eastAsia" w:ascii="仿宋_GB2312" w:eastAsia="仿宋_GB2312"/>
          <w:sz w:val="32"/>
          <w:szCs w:val="32"/>
          <w:lang w:val="en-US" w:eastAsia="zh-CN"/>
        </w:rPr>
        <w:t>100</w:t>
      </w:r>
      <w:r>
        <w:rPr>
          <w:rFonts w:hint="eastAsia" w:ascii="仿宋_GB2312" w:eastAsia="仿宋_GB2312"/>
          <w:sz w:val="32"/>
          <w:szCs w:val="32"/>
        </w:rPr>
        <w:t>%。项目资金使用符合预算批复用途，项目管理制度健全，合法合规</w:t>
      </w:r>
      <w:r>
        <w:rPr>
          <w:rFonts w:hint="eastAsia" w:ascii="仿宋_GB2312" w:eastAsia="仿宋_GB2312"/>
          <w:sz w:val="32"/>
          <w:szCs w:val="32"/>
          <w:lang w:eastAsia="zh-CN"/>
        </w:rPr>
        <w:t>，</w:t>
      </w:r>
      <w:r>
        <w:rPr>
          <w:rFonts w:hint="eastAsia" w:ascii="仿宋_GB2312" w:eastAsia="仿宋_GB2312"/>
          <w:sz w:val="32"/>
          <w:szCs w:val="32"/>
        </w:rPr>
        <w:t>内容完整</w:t>
      </w:r>
      <w:r>
        <w:rPr>
          <w:rFonts w:hint="eastAsia" w:ascii="仿宋_GB2312" w:eastAsia="仿宋_GB2312"/>
          <w:sz w:val="32"/>
          <w:szCs w:val="32"/>
          <w:lang w:eastAsia="zh-CN"/>
        </w:rPr>
        <w:t>。</w:t>
      </w:r>
    </w:p>
    <w:p>
      <w:pPr>
        <w:numPr>
          <w:ilvl w:val="0"/>
          <w:numId w:val="1"/>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项目产出情况。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项目年度任务完成较好，20</w:t>
      </w:r>
      <w:r>
        <w:rPr>
          <w:rFonts w:hint="eastAsia" w:ascii="仿宋_GB2312" w:eastAsia="仿宋_GB2312"/>
          <w:sz w:val="32"/>
          <w:szCs w:val="32"/>
          <w:lang w:val="en-US" w:eastAsia="zh-CN"/>
        </w:rPr>
        <w:t>21</w:t>
      </w:r>
      <w:r>
        <w:rPr>
          <w:rFonts w:hint="eastAsia" w:ascii="仿宋_GB2312" w:eastAsia="仿宋_GB2312"/>
          <w:sz w:val="32"/>
          <w:szCs w:val="32"/>
        </w:rPr>
        <w:t>年通过加强组织领导，强化监督管理，落实职责分工，</w:t>
      </w:r>
      <w:r>
        <w:rPr>
          <w:rFonts w:hint="eastAsia" w:ascii="仿宋_GB2312" w:eastAsia="仿宋_GB2312"/>
          <w:sz w:val="32"/>
          <w:szCs w:val="32"/>
          <w:lang w:val="en-US" w:eastAsia="zh-CN"/>
        </w:rPr>
        <w:t>顺利</w:t>
      </w:r>
      <w:r>
        <w:rPr>
          <w:rFonts w:hint="eastAsia" w:ascii="仿宋_GB2312" w:eastAsia="仿宋_GB2312"/>
          <w:sz w:val="32"/>
          <w:szCs w:val="32"/>
        </w:rPr>
        <w:t>推行城市生活垃圾分类工作。</w:t>
      </w:r>
    </w:p>
    <w:p>
      <w:pPr>
        <w:numPr>
          <w:ilvl w:val="0"/>
          <w:numId w:val="1"/>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项目效益情况。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从社会效益指标、可持续影响和群众满意度调查等方面来看，项目实施可帮助改善卫生环境，</w:t>
      </w:r>
      <w:r>
        <w:rPr>
          <w:rFonts w:hint="eastAsia" w:ascii="仿宋_GB2312" w:eastAsia="仿宋_GB2312"/>
          <w:sz w:val="32"/>
          <w:szCs w:val="32"/>
          <w:lang w:val="en-US" w:eastAsia="zh-CN"/>
        </w:rPr>
        <w:t>保障生活垃圾分类工作开展</w:t>
      </w:r>
      <w:r>
        <w:rPr>
          <w:rFonts w:hint="eastAsia" w:ascii="仿宋_GB2312" w:eastAsia="仿宋_GB2312"/>
          <w:sz w:val="32"/>
          <w:szCs w:val="32"/>
        </w:rPr>
        <w:t>。问卷调查结果显示，社会公众对项目实施综合满意度为 9</w:t>
      </w:r>
      <w:r>
        <w:rPr>
          <w:rFonts w:hint="eastAsia" w:ascii="仿宋_GB2312" w:eastAsia="仿宋_GB2312"/>
          <w:sz w:val="32"/>
          <w:szCs w:val="32"/>
          <w:lang w:val="en-US" w:eastAsia="zh-CN"/>
        </w:rPr>
        <w:t>8</w:t>
      </w:r>
      <w:r>
        <w:rPr>
          <w:rFonts w:hint="eastAsia" w:ascii="仿宋_GB2312" w:eastAsia="仿宋_GB2312"/>
          <w:sz w:val="32"/>
          <w:szCs w:val="32"/>
        </w:rPr>
        <w:t>.9%。</w:t>
      </w:r>
    </w:p>
    <w:p>
      <w:pPr>
        <w:numPr>
          <w:ilvl w:val="0"/>
          <w:numId w:val="3"/>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主要经验及做法、存在的问题及原因分析</w:t>
      </w:r>
    </w:p>
    <w:p>
      <w:pPr>
        <w:numPr>
          <w:ilvl w:val="0"/>
          <w:numId w:val="4"/>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经验和做法：</w:t>
      </w:r>
      <w:r>
        <w:rPr>
          <w:rFonts w:hint="eastAsia" w:ascii="仿宋_GB2312" w:eastAsia="仿宋_GB2312"/>
          <w:sz w:val="32"/>
          <w:szCs w:val="32"/>
        </w:rPr>
        <w:t>通过项目实施，确保垃圾分类工作有序推进。项目采取日常督查</w:t>
      </w:r>
      <w:r>
        <w:rPr>
          <w:rFonts w:hint="eastAsia" w:ascii="仿宋_GB2312" w:eastAsia="仿宋_GB2312"/>
          <w:sz w:val="32"/>
          <w:szCs w:val="32"/>
          <w:lang w:val="en-US" w:eastAsia="zh-CN"/>
        </w:rPr>
        <w:t>方式对垃圾分类设施购置</w:t>
      </w:r>
      <w:r>
        <w:rPr>
          <w:rFonts w:hint="eastAsia" w:ascii="仿宋_GB2312" w:eastAsia="仿宋_GB2312"/>
          <w:sz w:val="32"/>
          <w:szCs w:val="32"/>
        </w:rPr>
        <w:t>进行考核和监督，保证了</w:t>
      </w:r>
      <w:r>
        <w:rPr>
          <w:rFonts w:hint="eastAsia" w:ascii="仿宋_GB2312" w:eastAsia="仿宋_GB2312"/>
          <w:sz w:val="32"/>
          <w:szCs w:val="32"/>
          <w:lang w:val="en-US" w:eastAsia="zh-CN"/>
        </w:rPr>
        <w:t>设施质量完好</w:t>
      </w:r>
      <w:r>
        <w:rPr>
          <w:rFonts w:hint="eastAsia" w:ascii="仿宋_GB2312" w:eastAsia="仿宋_GB2312"/>
          <w:sz w:val="32"/>
          <w:szCs w:val="32"/>
        </w:rPr>
        <w:t>。</w:t>
      </w:r>
    </w:p>
    <w:p>
      <w:pPr>
        <w:numPr>
          <w:ilvl w:val="0"/>
          <w:numId w:val="4"/>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存在问题：需要进一步完善垃圾分类投放、分类收集、分类运输、分类处置的体系建设。</w:t>
      </w:r>
    </w:p>
    <w:p>
      <w:pPr>
        <w:numPr>
          <w:ilvl w:val="0"/>
          <w:numId w:val="3"/>
        </w:numPr>
        <w:spacing w:line="600" w:lineRule="exact"/>
        <w:ind w:left="0" w:leftChars="0" w:firstLine="640" w:firstLineChars="200"/>
        <w:rPr>
          <w:rFonts w:hint="eastAsia" w:ascii="黑体" w:hAnsi="黑体" w:eastAsia="黑体"/>
          <w:sz w:val="32"/>
          <w:szCs w:val="32"/>
        </w:rPr>
      </w:pPr>
      <w:r>
        <w:rPr>
          <w:rFonts w:hint="eastAsia" w:ascii="黑体" w:hAnsi="黑体" w:eastAsia="黑体"/>
          <w:sz w:val="32"/>
          <w:szCs w:val="32"/>
        </w:rPr>
        <w:t>有关建议</w:t>
      </w:r>
    </w:p>
    <w:p>
      <w:pPr>
        <w:numPr>
          <w:ilvl w:val="0"/>
          <w:numId w:val="0"/>
        </w:num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1、合理落实垃圾分类收集容器及相关配套设施配置、科学布局回收体系，确保垃圾分类设施保障到位。</w:t>
      </w:r>
    </w:p>
    <w:p>
      <w:pPr>
        <w:numPr>
          <w:ilvl w:val="0"/>
          <w:numId w:val="0"/>
        </w:numPr>
        <w:spacing w:line="600" w:lineRule="exact"/>
        <w:ind w:firstLine="640" w:firstLineChars="200"/>
        <w:rPr>
          <w:rFonts w:ascii="黑体" w:hAnsi="黑体" w:eastAsia="黑体"/>
          <w:sz w:val="32"/>
          <w:szCs w:val="32"/>
        </w:rPr>
      </w:pPr>
      <w:r>
        <w:rPr>
          <w:rFonts w:hint="eastAsia" w:ascii="仿宋_GB2312" w:eastAsia="仿宋_GB2312"/>
          <w:sz w:val="32"/>
          <w:szCs w:val="32"/>
          <w:lang w:val="en-US" w:eastAsia="zh-CN"/>
        </w:rPr>
        <w:t>2、探索多种垃圾分类和处置的模式和实施方法，提高可操作性和完善长效机制。</w:t>
      </w:r>
    </w:p>
    <w:p>
      <w:pPr>
        <w:spacing w:line="600" w:lineRule="exact"/>
        <w:ind w:firstLine="640" w:firstLineChars="200"/>
        <w:rPr>
          <w:rFonts w:ascii="仿宋_GB2312" w:eastAsia="仿宋_GB2312"/>
          <w:bCs/>
          <w:sz w:val="32"/>
          <w:szCs w:val="32"/>
        </w:rPr>
      </w:pPr>
      <w:r>
        <w:rPr>
          <w:rFonts w:hint="eastAsia" w:ascii="黑体" w:hAnsi="黑体" w:eastAsia="黑体"/>
          <w:sz w:val="32"/>
          <w:szCs w:val="32"/>
        </w:rPr>
        <w:t>七、其他需要说明的问题</w:t>
      </w:r>
    </w:p>
    <w:p>
      <w:pPr>
        <w:widowControl/>
        <w:ind w:firstLine="640" w:firstLineChars="200"/>
        <w:jc w:val="left"/>
        <w:rPr>
          <w:rFonts w:hint="default" w:ascii="黑体" w:hAnsi="黑体" w:eastAsia="黑体"/>
          <w:sz w:val="32"/>
          <w:szCs w:val="32"/>
          <w:lang w:val="en-US"/>
        </w:rPr>
      </w:pPr>
      <w:r>
        <w:rPr>
          <w:rFonts w:hint="eastAsia" w:ascii="仿宋_GB2312" w:eastAsia="仿宋_GB2312"/>
          <w:sz w:val="32"/>
          <w:szCs w:val="32"/>
          <w:lang w:val="en-US" w:eastAsia="zh-CN"/>
        </w:rPr>
        <w:t>无其他需要说明的问题。</w:t>
      </w:r>
    </w:p>
    <w:p>
      <w:pPr>
        <w:widowControl/>
        <w:jc w:val="left"/>
        <w:rPr>
          <w:rFonts w:hint="eastAsia" w:ascii="黑体" w:hAnsi="黑体" w:eastAsia="黑体"/>
          <w:sz w:val="32"/>
          <w:szCs w:val="32"/>
        </w:rPr>
      </w:pPr>
    </w:p>
    <w:p>
      <w:pPr>
        <w:widowControl/>
        <w:jc w:val="both"/>
        <w:rPr>
          <w:rFonts w:hint="eastAsia" w:ascii="黑体" w:hAnsi="黑体"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eastAsia="zh-CN"/>
        </w:rPr>
        <w:t>：</w:t>
      </w:r>
    </w:p>
    <w:p>
      <w:pPr>
        <w:widowControl/>
        <w:jc w:val="center"/>
        <w:rPr>
          <w:rFonts w:hint="eastAsia" w:ascii="黑体" w:hAnsi="黑体" w:eastAsia="黑体"/>
          <w:b/>
          <w:bCs/>
          <w:sz w:val="32"/>
          <w:szCs w:val="32"/>
        </w:rPr>
      </w:pPr>
      <w:r>
        <w:rPr>
          <w:rFonts w:hint="eastAsia" w:ascii="宋体" w:hAnsi="宋体" w:cs="宋体"/>
          <w:b/>
          <w:bCs/>
          <w:kern w:val="0"/>
          <w:sz w:val="24"/>
          <w:szCs w:val="24"/>
        </w:rPr>
        <w:t>项目支出绩效自评表</w:t>
      </w:r>
    </w:p>
    <w:tbl>
      <w:tblPr>
        <w:tblStyle w:val="2"/>
        <w:tblW w:w="9080" w:type="dxa"/>
        <w:jc w:val="center"/>
        <w:tblLayout w:type="fixed"/>
        <w:tblCellMar>
          <w:top w:w="0" w:type="dxa"/>
          <w:left w:w="108" w:type="dxa"/>
          <w:bottom w:w="0" w:type="dxa"/>
          <w:right w:w="108" w:type="dxa"/>
        </w:tblCellMar>
      </w:tblPr>
      <w:tblGrid>
        <w:gridCol w:w="588"/>
        <w:gridCol w:w="980"/>
        <w:gridCol w:w="1112"/>
        <w:gridCol w:w="730"/>
        <w:gridCol w:w="973"/>
        <w:gridCol w:w="1295"/>
        <w:gridCol w:w="851"/>
        <w:gridCol w:w="283"/>
        <w:gridCol w:w="284"/>
        <w:gridCol w:w="425"/>
        <w:gridCol w:w="142"/>
        <w:gridCol w:w="709"/>
        <w:gridCol w:w="708"/>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垃圾分类设施购置费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55"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29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97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c>
          <w:tcPr>
            <w:tcW w:w="129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97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c>
          <w:tcPr>
            <w:tcW w:w="1295" w:type="dxa"/>
            <w:tcBorders>
              <w:top w:val="nil"/>
              <w:left w:val="nil"/>
              <w:bottom w:val="single" w:color="auto" w:sz="4" w:space="0"/>
              <w:right w:val="single" w:color="auto" w:sz="4" w:space="0"/>
            </w:tcBorders>
            <w:vAlign w:val="center"/>
          </w:tcPr>
          <w:p>
            <w:pPr>
              <w:widowControl/>
              <w:spacing w:line="240" w:lineRule="exact"/>
              <w:ind w:firstLine="540" w:firstLineChars="300"/>
              <w:jc w:val="both"/>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97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9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97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9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1202"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完成垃圾分类设施购置，保证区域垃圾分类工作顺利开展，提高辖区城乡居民人居环境。</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有效提升垃圾分类覆盖面、提高市民对垃圾分类知晓率和参与率，改善了辖区市容环境，而且一定程度上减少生态污染，实现生活垃圾源头减量。</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17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129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70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50</w:t>
            </w:r>
            <w:r>
              <w:rPr>
                <w:rFonts w:hint="eastAsia" w:ascii="宋体" w:hAnsi="宋体" w:cs="宋体"/>
                <w:kern w:val="0"/>
                <w:sz w:val="18"/>
                <w:szCs w:val="18"/>
                <w:lang w:eastAsia="zh-CN"/>
              </w:rPr>
              <w:t>）</w:t>
            </w:r>
          </w:p>
        </w:tc>
        <w:tc>
          <w:tcPr>
            <w:tcW w:w="1112" w:type="dxa"/>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1703" w:type="dxa"/>
            <w:gridSpan w:val="2"/>
            <w:tcBorders>
              <w:top w:val="single" w:color="auto" w:sz="4" w:space="0"/>
              <w:left w:val="nil"/>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质量达标率</w:t>
            </w:r>
          </w:p>
        </w:tc>
        <w:tc>
          <w:tcPr>
            <w:tcW w:w="1295" w:type="dxa"/>
            <w:tcBorders>
              <w:top w:val="nil"/>
              <w:left w:val="nil"/>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质量达标率100%</w:t>
            </w:r>
          </w:p>
        </w:tc>
        <w:tc>
          <w:tcPr>
            <w:tcW w:w="851" w:type="dxa"/>
            <w:tcBorders>
              <w:top w:val="nil"/>
              <w:left w:val="nil"/>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99％</w:t>
            </w:r>
          </w:p>
        </w:tc>
        <w:tc>
          <w:tcPr>
            <w:tcW w:w="567" w:type="dxa"/>
            <w:gridSpan w:val="2"/>
            <w:tcBorders>
              <w:top w:val="nil"/>
              <w:left w:val="nil"/>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25</w:t>
            </w:r>
          </w:p>
        </w:tc>
        <w:tc>
          <w:tcPr>
            <w:tcW w:w="567" w:type="dxa"/>
            <w:gridSpan w:val="2"/>
            <w:tcBorders>
              <w:top w:val="nil"/>
              <w:left w:val="nil"/>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0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170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完成时间</w:t>
            </w:r>
          </w:p>
        </w:tc>
        <w:tc>
          <w:tcPr>
            <w:tcW w:w="129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年底完成</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完成</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7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170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维护成本</w:t>
            </w:r>
          </w:p>
        </w:tc>
        <w:tc>
          <w:tcPr>
            <w:tcW w:w="129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费用共计</w:t>
            </w:r>
            <w:r>
              <w:rPr>
                <w:rFonts w:hint="eastAsia" w:ascii="宋体" w:hAnsi="宋体" w:cs="宋体"/>
                <w:kern w:val="0"/>
                <w:sz w:val="18"/>
                <w:szCs w:val="18"/>
                <w:lang w:val="en-US" w:eastAsia="zh-CN"/>
              </w:rPr>
              <w:t>46</w:t>
            </w:r>
            <w:r>
              <w:rPr>
                <w:rFonts w:hint="eastAsia" w:ascii="宋体" w:hAnsi="宋体" w:cs="宋体"/>
                <w:kern w:val="0"/>
                <w:sz w:val="18"/>
                <w:szCs w:val="18"/>
              </w:rPr>
              <w:t>万元</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46万元</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70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节约成本</w:t>
            </w:r>
          </w:p>
        </w:tc>
        <w:tc>
          <w:tcPr>
            <w:tcW w:w="129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合理降低单位成本</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完成</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102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70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lang w:val="en-US" w:eastAsia="zh-CN"/>
              </w:rPr>
              <w:t>改善</w:t>
            </w:r>
            <w:r>
              <w:rPr>
                <w:rFonts w:hint="eastAsia" w:ascii="宋体" w:hAnsi="宋体" w:cs="宋体"/>
                <w:color w:val="000000"/>
                <w:kern w:val="0"/>
                <w:sz w:val="18"/>
                <w:szCs w:val="18"/>
              </w:rPr>
              <w:t>环境</w:t>
            </w:r>
          </w:p>
        </w:tc>
        <w:tc>
          <w:tcPr>
            <w:tcW w:w="129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环境得到改善，减少污染</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完成</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170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实施效果</w:t>
            </w:r>
          </w:p>
        </w:tc>
        <w:tc>
          <w:tcPr>
            <w:tcW w:w="129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b w:val="0"/>
                <w:bCs w:val="0"/>
                <w:sz w:val="20"/>
                <w:szCs w:val="20"/>
              </w:rPr>
              <w:t>有效实现生活垃圾分类源头减量</w:t>
            </w:r>
            <w:r>
              <w:rPr>
                <w:rFonts w:hint="eastAsia"/>
                <w:b w:val="0"/>
                <w:bCs w:val="0"/>
                <w:sz w:val="20"/>
                <w:szCs w:val="20"/>
                <w:lang w:eastAsia="zh-CN"/>
              </w:rPr>
              <w:t>。</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完成</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9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w:t>
            </w:r>
            <w:r>
              <w:rPr>
                <w:rFonts w:hint="eastAsia" w:ascii="宋体" w:hAnsi="宋体" w:cs="宋体"/>
                <w:kern w:val="0"/>
                <w:sz w:val="18"/>
                <w:szCs w:val="18"/>
                <w:lang w:eastAsia="zh-CN"/>
              </w:rPr>
              <w:t>）</w:t>
            </w: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1703" w:type="dxa"/>
            <w:gridSpan w:val="2"/>
            <w:tcBorders>
              <w:top w:val="single" w:color="auto" w:sz="4" w:space="0"/>
              <w:left w:val="nil"/>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群众满意度</w:t>
            </w:r>
          </w:p>
        </w:tc>
        <w:tc>
          <w:tcPr>
            <w:tcW w:w="1295" w:type="dxa"/>
            <w:tcBorders>
              <w:top w:val="single" w:color="auto" w:sz="4" w:space="0"/>
              <w:left w:val="nil"/>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满意度100％</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98.9％</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25" w:hRule="exact"/>
          <w:jc w:val="center"/>
        </w:trPr>
        <w:tc>
          <w:tcPr>
            <w:tcW w:w="6529" w:type="dxa"/>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96</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20A121"/>
    <w:multiLevelType w:val="singleLevel"/>
    <w:tmpl w:val="A720A121"/>
    <w:lvl w:ilvl="0" w:tentative="0">
      <w:start w:val="1"/>
      <w:numFmt w:val="decimal"/>
      <w:suff w:val="nothing"/>
      <w:lvlText w:val="%1、"/>
      <w:lvlJc w:val="left"/>
    </w:lvl>
  </w:abstractNum>
  <w:abstractNum w:abstractNumId="1">
    <w:nsid w:val="D1CEA897"/>
    <w:multiLevelType w:val="singleLevel"/>
    <w:tmpl w:val="D1CEA897"/>
    <w:lvl w:ilvl="0" w:tentative="0">
      <w:start w:val="2"/>
      <w:numFmt w:val="chineseCounting"/>
      <w:suff w:val="nothing"/>
      <w:lvlText w:val="（%1）"/>
      <w:lvlJc w:val="left"/>
      <w:rPr>
        <w:rFonts w:hint="eastAsia"/>
      </w:rPr>
    </w:lvl>
  </w:abstractNum>
  <w:abstractNum w:abstractNumId="2">
    <w:nsid w:val="ED36BC8D"/>
    <w:multiLevelType w:val="singleLevel"/>
    <w:tmpl w:val="ED36BC8D"/>
    <w:lvl w:ilvl="0" w:tentative="0">
      <w:start w:val="5"/>
      <w:numFmt w:val="chineseCounting"/>
      <w:suff w:val="nothing"/>
      <w:lvlText w:val="%1、"/>
      <w:lvlJc w:val="left"/>
      <w:rPr>
        <w:rFonts w:hint="eastAsia"/>
      </w:rPr>
    </w:lvl>
  </w:abstractNum>
  <w:abstractNum w:abstractNumId="3">
    <w:nsid w:val="1AB6C997"/>
    <w:multiLevelType w:val="singleLevel"/>
    <w:tmpl w:val="1AB6C997"/>
    <w:lvl w:ilvl="0" w:tentative="0">
      <w:start w:val="2"/>
      <w:numFmt w:val="decimal"/>
      <w:suff w:val="nothing"/>
      <w:lvlText w:val="%1、"/>
      <w:lvlJc w:val="left"/>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4377CF"/>
    <w:rsid w:val="1A1032B9"/>
    <w:rsid w:val="20C91E96"/>
    <w:rsid w:val="2F9F6E9D"/>
    <w:rsid w:val="31721A4C"/>
    <w:rsid w:val="32381A4B"/>
    <w:rsid w:val="35031C9D"/>
    <w:rsid w:val="353D67C8"/>
    <w:rsid w:val="3FC63A6E"/>
    <w:rsid w:val="47881287"/>
    <w:rsid w:val="6BFB2CEF"/>
    <w:rsid w:val="724E5AED"/>
    <w:rsid w:val="731277DE"/>
    <w:rsid w:val="7DB42E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Administrator</cp:lastModifiedBy>
  <dcterms:modified xsi:type="dcterms:W3CDTF">2022-03-14T01:37:23Z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E70E6DA4E1E2463695779772F7C07A1B</vt:lpwstr>
  </property>
</Properties>
</file>