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CA" w:rsidRPr="003A7687" w:rsidRDefault="00E553CA" w:rsidP="00E553CA">
      <w:pPr>
        <w:spacing w:line="300" w:lineRule="exact"/>
        <w:rPr>
          <w:rFonts w:ascii="黑体" w:eastAsia="黑体" w:hAnsi="黑体"/>
          <w:sz w:val="32"/>
          <w:szCs w:val="32"/>
        </w:rPr>
      </w:pPr>
      <w:r w:rsidRPr="003A7687">
        <w:rPr>
          <w:rFonts w:ascii="黑体" w:eastAsia="黑体" w:hAnsi="黑体" w:hint="eastAsia"/>
          <w:sz w:val="32"/>
          <w:szCs w:val="32"/>
        </w:rPr>
        <w:t>附件2</w:t>
      </w:r>
    </w:p>
    <w:p w:rsidR="00013369" w:rsidRDefault="00013369" w:rsidP="00E553CA">
      <w:pPr>
        <w:widowControl/>
        <w:spacing w:line="320" w:lineRule="exact"/>
        <w:jc w:val="center"/>
        <w:rPr>
          <w:rFonts w:ascii="宋体" w:hAnsi="宋体" w:cs="宋体"/>
          <w:b/>
          <w:bCs/>
          <w:kern w:val="0"/>
          <w:sz w:val="32"/>
          <w:szCs w:val="32"/>
        </w:rPr>
      </w:pPr>
    </w:p>
    <w:p w:rsidR="00E553CA" w:rsidRPr="005E087C" w:rsidRDefault="00013369" w:rsidP="005E087C">
      <w:pPr>
        <w:widowControl/>
        <w:spacing w:line="300" w:lineRule="atLeast"/>
        <w:jc w:val="center"/>
        <w:rPr>
          <w:rFonts w:ascii="宋体" w:hAnsi="宋体" w:cs="宋体"/>
          <w:b/>
          <w:bCs/>
          <w:kern w:val="0"/>
          <w:sz w:val="44"/>
          <w:szCs w:val="44"/>
        </w:rPr>
      </w:pPr>
      <w:r w:rsidRPr="005E087C">
        <w:rPr>
          <w:rFonts w:ascii="宋体" w:hAnsi="宋体" w:cs="宋体" w:hint="eastAsia"/>
          <w:b/>
          <w:bCs/>
          <w:kern w:val="0"/>
          <w:sz w:val="44"/>
          <w:szCs w:val="44"/>
        </w:rPr>
        <w:t>规划编制费——菩提岛诸岛省级自然保护区评估调整</w:t>
      </w:r>
      <w:r w:rsidR="00E553CA" w:rsidRPr="005E087C">
        <w:rPr>
          <w:rFonts w:ascii="宋体" w:hAnsi="宋体" w:cs="宋体" w:hint="eastAsia"/>
          <w:b/>
          <w:bCs/>
          <w:kern w:val="0"/>
          <w:sz w:val="44"/>
          <w:szCs w:val="44"/>
        </w:rPr>
        <w:t>项目支出绩效评价报告</w:t>
      </w:r>
    </w:p>
    <w:p w:rsidR="00E553CA" w:rsidRPr="005E087C" w:rsidRDefault="00E553CA" w:rsidP="00E553CA">
      <w:pPr>
        <w:spacing w:line="580" w:lineRule="exact"/>
        <w:rPr>
          <w:rFonts w:ascii="仿宋_GB2312" w:eastAsia="仿宋_GB2312"/>
          <w:sz w:val="44"/>
          <w:szCs w:val="44"/>
        </w:rPr>
      </w:pPr>
    </w:p>
    <w:p w:rsidR="00E7634B" w:rsidRPr="005E087C" w:rsidRDefault="00E7634B"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一、基本情况</w:t>
      </w:r>
    </w:p>
    <w:p w:rsidR="006C3EA5" w:rsidRPr="005E087C" w:rsidRDefault="00E7634B" w:rsidP="00E7634B">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（一）项目概况。</w:t>
      </w:r>
    </w:p>
    <w:p w:rsidR="006C3EA5" w:rsidRPr="005E087C" w:rsidRDefault="006C3EA5" w:rsidP="00E7634B">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按照《中共中央办公厅、国务院办公厅关于建立以国家公园为主体的自然保护地体系的指导意见》(中办发〔2019〕42号）《自然资源部国家林业和草原局关于做好自然保护区范围及功能分区优化调整前期有关工作的函》（自然资函〔2019〕71号）《河北省林业和草原局关于做好自然保护地整合优化前期工作的通知》《河北省林业和草原局关于进一步做好自然保护地整合优化前期准备和衔接工作的通知》《唐山市自然资源和规划局关于做好自然保护地评估调整前期工作的函》（唐资规函〔2019〕609号）《唐山市自然资源和规划局关于进一步做好自然保护地整合优化前期准备和衔接工作的函》（唐资规函〔2020〕53号）要求，对自然保护地开展评估和整合优化工作。</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1.开展自然保护地自然环境和土地利用评估工作。包括：地理位置、范围和功能定位；历史沿革与法律地位；自然环境情况；经济社会发展情况；土地利用状况；基础设施建设情况。</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2.开展自然保护地管理现状评估工作。包括：保护管理现</w:t>
      </w:r>
      <w:r w:rsidRPr="005E087C">
        <w:rPr>
          <w:rFonts w:ascii="仿宋" w:eastAsia="仿宋" w:hAnsi="仿宋" w:hint="eastAsia"/>
          <w:sz w:val="32"/>
          <w:szCs w:val="32"/>
        </w:rPr>
        <w:lastRenderedPageBreak/>
        <w:t>状；保护管理评价。</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3.保护地交叉重叠评估。涉及区域交叉、空间重叠和相连的自然保护地数量、名称、管理机构、级别等信息。</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4.自然保护地地类评估。包括：保护地人为活动情况；其他与保护地主体功能和保护方向有矛盾冲突情况。</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5.自然保护地优化整合。对符合要求的地块调出或调入自然保护地；对交叉重叠的自然保护地进行合并或拆分；对自然保护地调整前后进行对比；对评估调整后的自然保护地进行影响分析和效益评价。</w:t>
      </w:r>
    </w:p>
    <w:p w:rsidR="006C3EA5" w:rsidRPr="005E087C" w:rsidRDefault="006C3EA5"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现阶段完成初步成果，已上报至唐山市自然资源和规划局并通过审查，</w:t>
      </w:r>
      <w:r w:rsidR="003A31FF" w:rsidRPr="005E087C">
        <w:rPr>
          <w:rFonts w:ascii="仿宋" w:eastAsia="仿宋" w:hAnsi="仿宋" w:hint="eastAsia"/>
          <w:sz w:val="32"/>
          <w:szCs w:val="32"/>
        </w:rPr>
        <w:t>修改后上报至河北省林业和草原局，待审查。</w:t>
      </w:r>
    </w:p>
    <w:p w:rsidR="003A31FF" w:rsidRPr="005E087C" w:rsidRDefault="003A31FF"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2020年5月22日，唐山市自然资源和规划局唐山国际旅游岛分局和北京舜土规划顾问有限公司签订技术服务合同，合同履行期为2020年5月 22日 至 2021年5月 21 日。</w:t>
      </w:r>
    </w:p>
    <w:p w:rsidR="003A31FF" w:rsidRPr="005E087C" w:rsidRDefault="003A31FF" w:rsidP="006C3EA5">
      <w:pPr>
        <w:spacing w:line="600" w:lineRule="exact"/>
        <w:ind w:firstLineChars="200" w:firstLine="640"/>
        <w:outlineLvl w:val="0"/>
        <w:rPr>
          <w:rFonts w:ascii="仿宋" w:eastAsia="仿宋" w:hAnsi="仿宋"/>
          <w:sz w:val="32"/>
          <w:szCs w:val="32"/>
        </w:rPr>
      </w:pPr>
      <w:r w:rsidRPr="005E087C">
        <w:rPr>
          <w:rFonts w:ascii="仿宋" w:eastAsia="仿宋" w:hAnsi="仿宋" w:hint="eastAsia"/>
          <w:sz w:val="32"/>
          <w:szCs w:val="32"/>
        </w:rPr>
        <w:t>11月26日，已向北京舜土规划顾问有限公司支付第一笔费用，金额为合同总款的40%，即人民币11.44万。</w:t>
      </w:r>
    </w:p>
    <w:p w:rsidR="006C3EA5" w:rsidRPr="005E087C" w:rsidRDefault="00E7634B"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（二）项目绩效目标。</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sz w:val="32"/>
          <w:szCs w:val="32"/>
        </w:rPr>
        <w:t>总体目标：</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1.自然保护地评估2.自然保护地优化整合</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阶段目标：</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1.自然保护地评估调整成果提交至唐山市自然资源和规划</w:t>
      </w:r>
      <w:r w:rsidRPr="005E087C">
        <w:rPr>
          <w:rFonts w:ascii="仿宋" w:eastAsia="仿宋" w:hAnsi="仿宋" w:hint="eastAsia"/>
          <w:sz w:val="32"/>
          <w:szCs w:val="32"/>
        </w:rPr>
        <w:lastRenderedPageBreak/>
        <w:t>局，并通过审查；</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2.自然保护地评估调整成果提交至河北省林业和草原局，并通过审查；</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3.按照相关部门意见进一步修改完善，提交最终成果。</w:t>
      </w:r>
    </w:p>
    <w:p w:rsidR="00E7634B" w:rsidRPr="005E087C" w:rsidRDefault="00E7634B"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包括总体目标和阶段性目标。</w:t>
      </w:r>
    </w:p>
    <w:p w:rsidR="00E7634B" w:rsidRPr="005E087C" w:rsidRDefault="00E7634B"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二、绩效评价工作开展情况</w:t>
      </w:r>
    </w:p>
    <w:p w:rsidR="00E7634B" w:rsidRPr="005E087C" w:rsidRDefault="00E7634B"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（一）绩效评价目的</w:t>
      </w:r>
    </w:p>
    <w:p w:rsidR="00CB0A39" w:rsidRPr="005E087C" w:rsidRDefault="00CB0A39" w:rsidP="00CB0A39">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根据《唐山国际旅游岛项目支出绩效自评管理办法》，对项目资金的相关绩效指标进行分析，评价其是否符合旅游岛的相关工作部署；考察相关资金在制度层面的落实情况和可操作性；对项目的实施过程的管理措施进行评价。</w:t>
      </w:r>
    </w:p>
    <w:p w:rsidR="00CB0A39" w:rsidRPr="005E087C" w:rsidRDefault="00E7634B" w:rsidP="00CB0A39">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（二）</w:t>
      </w:r>
      <w:r w:rsidR="00CB0A39" w:rsidRPr="005E087C">
        <w:rPr>
          <w:rFonts w:ascii="仿宋" w:eastAsia="仿宋" w:hAnsi="仿宋" w:hint="eastAsia"/>
          <w:sz w:val="32"/>
          <w:szCs w:val="32"/>
        </w:rPr>
        <w:t>绩效评价原则</w:t>
      </w:r>
    </w:p>
    <w:p w:rsidR="00CB0A39" w:rsidRPr="005E087C" w:rsidRDefault="00CB0A39" w:rsidP="00DB2735">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（1）科学规范原则。注重专项资金支出的经济性、效率性和有效性，采用定量与定性相结合的方法。</w:t>
      </w:r>
    </w:p>
    <w:p w:rsidR="00CB0A39" w:rsidRPr="005E087C" w:rsidRDefault="00CB0A39" w:rsidP="00DB2735">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（2）公开公正原则。评价保持客观、公正，采用计</w:t>
      </w:r>
      <w:r w:rsidR="00DB2735" w:rsidRPr="005E087C">
        <w:rPr>
          <w:rFonts w:ascii="仿宋" w:eastAsia="仿宋" w:hAnsi="仿宋" w:hint="eastAsia"/>
          <w:sz w:val="32"/>
          <w:szCs w:val="32"/>
        </w:rPr>
        <w:t>相关标准</w:t>
      </w:r>
      <w:r w:rsidRPr="005E087C">
        <w:rPr>
          <w:rFonts w:ascii="仿宋" w:eastAsia="仿宋" w:hAnsi="仿宋" w:hint="eastAsia"/>
          <w:sz w:val="32"/>
          <w:szCs w:val="32"/>
        </w:rPr>
        <w:t>开展评价工作，并自觉接受有关方面监督。</w:t>
      </w:r>
    </w:p>
    <w:p w:rsidR="00E7634B" w:rsidRPr="005E087C" w:rsidRDefault="00CB0A39" w:rsidP="00CB0A39">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（三）</w:t>
      </w:r>
      <w:r w:rsidR="00E7634B" w:rsidRPr="005E087C">
        <w:rPr>
          <w:rFonts w:ascii="仿宋" w:eastAsia="仿宋" w:hAnsi="仿宋" w:hint="eastAsia"/>
          <w:sz w:val="32"/>
          <w:szCs w:val="32"/>
        </w:rPr>
        <w:t>绩效评价工作过程。</w:t>
      </w:r>
    </w:p>
    <w:p w:rsidR="00CB0A39" w:rsidRPr="005E087C" w:rsidRDefault="00DB2735" w:rsidP="00DB2735">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为完成年初预算指标，合理科学的利用专项资金开展相关设计工作，按照管委会的指示要求，需对本项目进行绩效评价。接受任务后我部门积极汇总材料，对绩效</w:t>
      </w:r>
      <w:r w:rsidR="009B2ACD" w:rsidRPr="005E087C">
        <w:rPr>
          <w:rFonts w:ascii="仿宋" w:eastAsia="仿宋" w:hAnsi="仿宋" w:hint="eastAsia"/>
          <w:sz w:val="32"/>
          <w:szCs w:val="32"/>
        </w:rPr>
        <w:t>指标所需</w:t>
      </w:r>
      <w:r w:rsidRPr="005E087C">
        <w:rPr>
          <w:rFonts w:ascii="仿宋" w:eastAsia="仿宋" w:hAnsi="仿宋" w:hint="eastAsia"/>
          <w:sz w:val="32"/>
          <w:szCs w:val="32"/>
        </w:rPr>
        <w:t>数据进行核验</w:t>
      </w:r>
      <w:r w:rsidR="009B2ACD" w:rsidRPr="005E087C">
        <w:rPr>
          <w:rFonts w:ascii="仿宋" w:eastAsia="仿宋" w:hAnsi="仿宋" w:hint="eastAsia"/>
          <w:sz w:val="32"/>
          <w:szCs w:val="32"/>
        </w:rPr>
        <w:t>，并结合相关单位的沟通意见，最终完成绩效评价。</w:t>
      </w:r>
    </w:p>
    <w:p w:rsidR="00E7634B" w:rsidRPr="005E087C" w:rsidRDefault="00CB0A39"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lastRenderedPageBreak/>
        <w:t>三</w:t>
      </w:r>
      <w:r w:rsidR="00E7634B" w:rsidRPr="005E087C">
        <w:rPr>
          <w:rFonts w:ascii="仿宋" w:eastAsia="仿宋" w:hAnsi="仿宋" w:hint="eastAsia"/>
          <w:sz w:val="32"/>
          <w:szCs w:val="32"/>
        </w:rPr>
        <w:t>、绩效评价指标分析</w:t>
      </w:r>
    </w:p>
    <w:p w:rsidR="00CB0A39" w:rsidRPr="005E087C" w:rsidRDefault="00DB2735" w:rsidP="00DB2735">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本项目绩效评价覆盖数量指标</w:t>
      </w:r>
      <w:r w:rsidRPr="005E087C">
        <w:rPr>
          <w:rFonts w:ascii="仿宋" w:eastAsia="仿宋" w:hAnsi="仿宋"/>
          <w:sz w:val="32"/>
          <w:szCs w:val="32"/>
        </w:rPr>
        <w:t>、</w:t>
      </w:r>
      <w:r w:rsidRPr="005E087C">
        <w:rPr>
          <w:rFonts w:ascii="仿宋" w:eastAsia="仿宋" w:hAnsi="仿宋" w:hint="eastAsia"/>
          <w:sz w:val="32"/>
          <w:szCs w:val="32"/>
        </w:rPr>
        <w:t>质量指标、时效指标、成本指标、经济效益指标</w:t>
      </w:r>
      <w:r w:rsidRPr="005E087C">
        <w:rPr>
          <w:rFonts w:ascii="仿宋" w:eastAsia="仿宋" w:hAnsi="仿宋"/>
          <w:sz w:val="32"/>
          <w:szCs w:val="32"/>
        </w:rPr>
        <w:t>、</w:t>
      </w:r>
      <w:r w:rsidRPr="005E087C">
        <w:rPr>
          <w:rFonts w:ascii="仿宋" w:eastAsia="仿宋" w:hAnsi="仿宋" w:hint="eastAsia"/>
          <w:sz w:val="32"/>
          <w:szCs w:val="32"/>
        </w:rPr>
        <w:t>社会效益指标</w:t>
      </w:r>
      <w:r w:rsidRPr="005E087C">
        <w:rPr>
          <w:rFonts w:ascii="仿宋" w:eastAsia="仿宋" w:hAnsi="仿宋"/>
          <w:sz w:val="32"/>
          <w:szCs w:val="32"/>
        </w:rPr>
        <w:t>、</w:t>
      </w:r>
      <w:r w:rsidRPr="005E087C">
        <w:rPr>
          <w:rFonts w:ascii="仿宋" w:eastAsia="仿宋" w:hAnsi="仿宋" w:hint="eastAsia"/>
          <w:sz w:val="32"/>
          <w:szCs w:val="32"/>
        </w:rPr>
        <w:t>生态效益指标</w:t>
      </w:r>
      <w:r w:rsidRPr="005E087C">
        <w:rPr>
          <w:rFonts w:ascii="仿宋" w:eastAsia="仿宋" w:hAnsi="仿宋"/>
          <w:sz w:val="32"/>
          <w:szCs w:val="32"/>
        </w:rPr>
        <w:t>、</w:t>
      </w:r>
      <w:r w:rsidRPr="005E087C">
        <w:rPr>
          <w:rFonts w:ascii="仿宋" w:eastAsia="仿宋" w:hAnsi="仿宋" w:hint="eastAsia"/>
          <w:sz w:val="32"/>
          <w:szCs w:val="32"/>
        </w:rPr>
        <w:t>可持续影响指标</w:t>
      </w:r>
      <w:r w:rsidRPr="005E087C">
        <w:rPr>
          <w:rFonts w:ascii="仿宋" w:eastAsia="仿宋" w:hAnsi="仿宋"/>
          <w:sz w:val="32"/>
          <w:szCs w:val="32"/>
        </w:rPr>
        <w:t>、</w:t>
      </w:r>
      <w:r w:rsidRPr="005E087C">
        <w:rPr>
          <w:rFonts w:ascii="仿宋" w:eastAsia="仿宋" w:hAnsi="仿宋" w:hint="eastAsia"/>
          <w:sz w:val="32"/>
          <w:szCs w:val="32"/>
        </w:rPr>
        <w:t>服务对象满意度指标等方面，相关单位已按照要求完成现阶段任务，</w:t>
      </w:r>
      <w:r w:rsidR="009B2ACD" w:rsidRPr="005E087C">
        <w:rPr>
          <w:rFonts w:ascii="仿宋" w:eastAsia="仿宋" w:hAnsi="仿宋" w:hint="eastAsia"/>
          <w:sz w:val="32"/>
          <w:szCs w:val="32"/>
        </w:rPr>
        <w:t>所有项目</w:t>
      </w:r>
      <w:r w:rsidRPr="005E087C">
        <w:rPr>
          <w:rFonts w:ascii="仿宋" w:eastAsia="仿宋" w:hAnsi="仿宋" w:hint="eastAsia"/>
          <w:sz w:val="32"/>
          <w:szCs w:val="32"/>
        </w:rPr>
        <w:t>基本完成预期目标。</w:t>
      </w:r>
    </w:p>
    <w:p w:rsidR="00E7634B" w:rsidRPr="005E087C" w:rsidRDefault="00CB0A39"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四</w:t>
      </w:r>
      <w:r w:rsidR="00E7634B" w:rsidRPr="005E087C">
        <w:rPr>
          <w:rFonts w:ascii="仿宋" w:eastAsia="仿宋" w:hAnsi="仿宋" w:hint="eastAsia"/>
          <w:sz w:val="32"/>
          <w:szCs w:val="32"/>
        </w:rPr>
        <w:t>、主要经验及做法、存在的问题及原因分析</w:t>
      </w:r>
    </w:p>
    <w:p w:rsidR="00B415F2" w:rsidRPr="005E087C" w:rsidRDefault="00B415F2" w:rsidP="00B415F2">
      <w:pPr>
        <w:spacing w:line="600" w:lineRule="exact"/>
        <w:ind w:firstLineChars="200" w:firstLine="640"/>
        <w:rPr>
          <w:rFonts w:ascii="仿宋" w:eastAsia="仿宋" w:hAnsi="仿宋"/>
          <w:sz w:val="32"/>
          <w:szCs w:val="32"/>
        </w:rPr>
      </w:pPr>
      <w:r w:rsidRPr="005E087C">
        <w:rPr>
          <w:rFonts w:ascii="仿宋" w:eastAsia="仿宋" w:hAnsi="仿宋"/>
          <w:sz w:val="32"/>
          <w:szCs w:val="32"/>
        </w:rPr>
        <w:t>无</w:t>
      </w:r>
    </w:p>
    <w:p w:rsidR="00E7634B" w:rsidRPr="005E087C" w:rsidRDefault="00CB0A39" w:rsidP="00E7634B">
      <w:pPr>
        <w:spacing w:line="600" w:lineRule="exact"/>
        <w:ind w:firstLineChars="200" w:firstLine="640"/>
        <w:rPr>
          <w:rFonts w:ascii="仿宋" w:eastAsia="仿宋" w:hAnsi="仿宋"/>
          <w:sz w:val="32"/>
          <w:szCs w:val="32"/>
        </w:rPr>
      </w:pPr>
      <w:r w:rsidRPr="005E087C">
        <w:rPr>
          <w:rFonts w:ascii="仿宋" w:eastAsia="仿宋" w:hAnsi="仿宋" w:hint="eastAsia"/>
          <w:sz w:val="32"/>
          <w:szCs w:val="32"/>
        </w:rPr>
        <w:t>五</w:t>
      </w:r>
      <w:r w:rsidR="00E7634B" w:rsidRPr="005E087C">
        <w:rPr>
          <w:rFonts w:ascii="仿宋" w:eastAsia="仿宋" w:hAnsi="仿宋" w:hint="eastAsia"/>
          <w:sz w:val="32"/>
          <w:szCs w:val="32"/>
        </w:rPr>
        <w:t>、有关建议</w:t>
      </w:r>
    </w:p>
    <w:p w:rsidR="00B415F2" w:rsidRPr="005E087C" w:rsidRDefault="00B415F2" w:rsidP="00E7634B">
      <w:pPr>
        <w:spacing w:line="600" w:lineRule="exact"/>
        <w:ind w:firstLineChars="200" w:firstLine="640"/>
        <w:rPr>
          <w:rFonts w:ascii="仿宋" w:eastAsia="仿宋" w:hAnsi="仿宋"/>
          <w:sz w:val="32"/>
          <w:szCs w:val="32"/>
        </w:rPr>
      </w:pPr>
      <w:r w:rsidRPr="005E087C">
        <w:rPr>
          <w:rFonts w:ascii="仿宋" w:eastAsia="仿宋" w:hAnsi="仿宋"/>
          <w:sz w:val="32"/>
          <w:szCs w:val="32"/>
        </w:rPr>
        <w:t>无</w:t>
      </w:r>
    </w:p>
    <w:p w:rsidR="00B415F2" w:rsidRPr="005E087C" w:rsidRDefault="00B415F2" w:rsidP="00E7634B">
      <w:pPr>
        <w:spacing w:line="600" w:lineRule="exact"/>
        <w:ind w:firstLineChars="200" w:firstLine="640"/>
        <w:rPr>
          <w:rFonts w:ascii="仿宋" w:eastAsia="仿宋" w:hAnsi="仿宋"/>
          <w:bCs/>
          <w:sz w:val="32"/>
          <w:szCs w:val="32"/>
        </w:rPr>
      </w:pPr>
    </w:p>
    <w:p w:rsidR="00064D68" w:rsidRPr="005E087C" w:rsidRDefault="00064D68" w:rsidP="00E7634B">
      <w:pPr>
        <w:spacing w:line="580" w:lineRule="exact"/>
        <w:rPr>
          <w:rFonts w:ascii="仿宋" w:eastAsia="仿宋" w:hAnsi="仿宋"/>
          <w:sz w:val="32"/>
          <w:szCs w:val="32"/>
        </w:rPr>
      </w:pPr>
    </w:p>
    <w:sectPr w:rsidR="00064D68" w:rsidRPr="005E087C" w:rsidSect="004B62A7">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9EC" w:rsidRDefault="00C509EC">
      <w:r>
        <w:t>**</w:t>
      </w:r>
    </w:p>
  </w:endnote>
  <w:endnote w:type="continuationSeparator" w:id="0">
    <w:p w:rsidR="00C509EC" w:rsidRDefault="00C509EC">
      <w:r>
        <w: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9EC" w:rsidRDefault="00C509EC">
      <w:pPr>
        <w:pStyle w:val="a4"/>
      </w:pPr>
    </w:p>
    <w:p w:rsidR="00C509EC" w:rsidRDefault="00C509EC"/>
    <w:p w:rsidR="00C509EC" w:rsidRDefault="00C509EC">
      <w:pPr>
        <w:pStyle w:val="a5"/>
      </w:pPr>
    </w:p>
    <w:p w:rsidR="00C509EC" w:rsidRDefault="00C509EC"/>
    <w:p w:rsidR="00C509EC" w:rsidRDefault="00C509EC">
      <w:pPr>
        <w:pStyle w:val="a4"/>
      </w:pPr>
    </w:p>
    <w:p w:rsidR="00C509EC" w:rsidRDefault="00C509EC"/>
    <w:p w:rsidR="00C509EC" w:rsidRDefault="00C509EC">
      <w:pPr>
        <w:pStyle w:val="a4"/>
      </w:pPr>
    </w:p>
    <w:p w:rsidR="00C509EC" w:rsidRDefault="00C509EC"/>
    <w:p w:rsidR="00C509EC" w:rsidRDefault="00C509EC">
      <w:pPr>
        <w:pStyle w:val="a5"/>
      </w:pPr>
    </w:p>
    <w:p w:rsidR="00C509EC" w:rsidRDefault="00C509EC"/>
    <w:p w:rsidR="00C509EC" w:rsidRDefault="00C509EC">
      <w:r>
        <w:t>**</w:t>
      </w:r>
    </w:p>
  </w:footnote>
  <w:footnote w:type="continuationSeparator" w:id="0">
    <w:p w:rsidR="00C509EC" w:rsidRDefault="00C509EC">
      <w: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6B24"/>
    <w:rsid w:val="0000746E"/>
    <w:rsid w:val="00013369"/>
    <w:rsid w:val="00016EC2"/>
    <w:rsid w:val="00033E0F"/>
    <w:rsid w:val="00064D68"/>
    <w:rsid w:val="0006565C"/>
    <w:rsid w:val="00066713"/>
    <w:rsid w:val="000A5E9A"/>
    <w:rsid w:val="000B60E6"/>
    <w:rsid w:val="000D3A97"/>
    <w:rsid w:val="000D49BD"/>
    <w:rsid w:val="000E10B8"/>
    <w:rsid w:val="000E569B"/>
    <w:rsid w:val="000F6F8C"/>
    <w:rsid w:val="001079D2"/>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021B"/>
    <w:rsid w:val="0021422A"/>
    <w:rsid w:val="00215427"/>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A31FF"/>
    <w:rsid w:val="003A7687"/>
    <w:rsid w:val="003B152F"/>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D3ABA"/>
    <w:rsid w:val="004E1C0C"/>
    <w:rsid w:val="004F3CC2"/>
    <w:rsid w:val="00531074"/>
    <w:rsid w:val="005418F0"/>
    <w:rsid w:val="005429C1"/>
    <w:rsid w:val="0054458B"/>
    <w:rsid w:val="00555673"/>
    <w:rsid w:val="00556DD6"/>
    <w:rsid w:val="00566E51"/>
    <w:rsid w:val="00597150"/>
    <w:rsid w:val="005A46AB"/>
    <w:rsid w:val="005A6DF0"/>
    <w:rsid w:val="005E087C"/>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C3EA5"/>
    <w:rsid w:val="006C6D9D"/>
    <w:rsid w:val="006D1615"/>
    <w:rsid w:val="006F79BB"/>
    <w:rsid w:val="00732289"/>
    <w:rsid w:val="007513D6"/>
    <w:rsid w:val="007632B1"/>
    <w:rsid w:val="00770F76"/>
    <w:rsid w:val="0078625F"/>
    <w:rsid w:val="007A5561"/>
    <w:rsid w:val="007C6528"/>
    <w:rsid w:val="007C7E41"/>
    <w:rsid w:val="007E6B24"/>
    <w:rsid w:val="007F0CA9"/>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ACD"/>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AF4A15"/>
    <w:rsid w:val="00B06ACE"/>
    <w:rsid w:val="00B114DF"/>
    <w:rsid w:val="00B17CC2"/>
    <w:rsid w:val="00B22173"/>
    <w:rsid w:val="00B27782"/>
    <w:rsid w:val="00B31BE7"/>
    <w:rsid w:val="00B36D6C"/>
    <w:rsid w:val="00B415F2"/>
    <w:rsid w:val="00B473F7"/>
    <w:rsid w:val="00B63344"/>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68D"/>
    <w:rsid w:val="00C17B63"/>
    <w:rsid w:val="00C24242"/>
    <w:rsid w:val="00C261C8"/>
    <w:rsid w:val="00C405CA"/>
    <w:rsid w:val="00C45F19"/>
    <w:rsid w:val="00C509EC"/>
    <w:rsid w:val="00C55A86"/>
    <w:rsid w:val="00C66E0F"/>
    <w:rsid w:val="00C678ED"/>
    <w:rsid w:val="00C937A5"/>
    <w:rsid w:val="00CA14F3"/>
    <w:rsid w:val="00CB0A39"/>
    <w:rsid w:val="00CE0196"/>
    <w:rsid w:val="00CE1F35"/>
    <w:rsid w:val="00CE3086"/>
    <w:rsid w:val="00CE5464"/>
    <w:rsid w:val="00CF27E1"/>
    <w:rsid w:val="00CF5C52"/>
    <w:rsid w:val="00D11947"/>
    <w:rsid w:val="00D216E7"/>
    <w:rsid w:val="00D23395"/>
    <w:rsid w:val="00D42656"/>
    <w:rsid w:val="00D43273"/>
    <w:rsid w:val="00D4349F"/>
    <w:rsid w:val="00D61F07"/>
    <w:rsid w:val="00D7101C"/>
    <w:rsid w:val="00D917C3"/>
    <w:rsid w:val="00D92E9F"/>
    <w:rsid w:val="00DA3251"/>
    <w:rsid w:val="00DB2735"/>
    <w:rsid w:val="00DE08F7"/>
    <w:rsid w:val="00E109A3"/>
    <w:rsid w:val="00E13530"/>
    <w:rsid w:val="00E262B7"/>
    <w:rsid w:val="00E3005B"/>
    <w:rsid w:val="00E30874"/>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CAA0967-7071-4845-84D6-DB963BA83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225</Words>
  <Characters>1283</Characters>
  <Application>Microsoft Office Word</Application>
  <DocSecurity>0</DocSecurity>
  <Lines>10</Lines>
  <Paragraphs>3</Paragraphs>
  <ScaleCrop>false</ScaleCrop>
  <Company>Lenovo</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3</cp:revision>
  <cp:lastPrinted>2020-04-14T01:56:00Z</cp:lastPrinted>
  <dcterms:created xsi:type="dcterms:W3CDTF">2021-03-11T08:09:00Z</dcterms:created>
  <dcterms:modified xsi:type="dcterms:W3CDTF">2021-03-15T06:10:00Z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