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项目支出绩效评价报告</w:t>
      </w:r>
    </w:p>
    <w:p>
      <w:pPr>
        <w:spacing w:line="580" w:lineRule="exact"/>
        <w:jc w:val="center"/>
        <w:rPr>
          <w:rFonts w:hint="eastAsia" w:ascii="仿宋_GB2312" w:eastAsia="仿宋_GB2312"/>
          <w:b/>
          <w:bCs/>
          <w:sz w:val="40"/>
          <w:szCs w:val="40"/>
          <w:lang w:eastAsia="zh-CN"/>
        </w:rPr>
      </w:pPr>
    </w:p>
    <w:p>
      <w:pPr>
        <w:numPr>
          <w:ilvl w:val="0"/>
          <w:numId w:val="1"/>
        </w:numPr>
        <w:spacing w:line="580" w:lineRule="exact"/>
        <w:rPr>
          <w:rFonts w:hint="eastAsia" w:eastAsia="方正仿宋_GBK"/>
          <w:sz w:val="32"/>
          <w:szCs w:val="32"/>
        </w:rPr>
      </w:pPr>
      <w:r>
        <w:rPr>
          <w:rFonts w:hint="eastAsia" w:eastAsia="方正仿宋_GBK"/>
          <w:sz w:val="32"/>
          <w:szCs w:val="32"/>
        </w:rPr>
        <w:t>基本情况</w:t>
      </w:r>
    </w:p>
    <w:p>
      <w:pPr>
        <w:spacing w:line="580" w:lineRule="exact"/>
        <w:rPr>
          <w:rFonts w:hint="eastAsia" w:eastAsia="方正仿宋_GBK"/>
          <w:sz w:val="32"/>
          <w:szCs w:val="32"/>
        </w:rPr>
      </w:pPr>
    </w:p>
    <w:p>
      <w:pPr>
        <w:widowControl/>
        <w:numPr>
          <w:ilvl w:val="0"/>
          <w:numId w:val="2"/>
        </w:numPr>
        <w:rPr>
          <w:rFonts w:hint="eastAsia" w:ascii="仿宋" w:hAnsi="仿宋" w:eastAsia="仿宋" w:cs="仿宋"/>
          <w:color w:val="333333"/>
          <w:sz w:val="32"/>
          <w:szCs w:val="32"/>
        </w:rPr>
      </w:pPr>
      <w:r>
        <w:rPr>
          <w:rFonts w:hint="eastAsia" w:ascii="仿宋" w:hAnsi="仿宋" w:eastAsia="仿宋" w:cs="仿宋"/>
          <w:color w:val="333333"/>
          <w:sz w:val="32"/>
          <w:szCs w:val="32"/>
        </w:rPr>
        <w:t>项目概况</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我局成立评价小组并安排专门人员负责20</w:t>
      </w:r>
      <w:r>
        <w:rPr>
          <w:rFonts w:hint="eastAsia" w:ascii="仿宋_GB2312" w:eastAsia="仿宋_GB2312"/>
          <w:sz w:val="32"/>
          <w:szCs w:val="32"/>
          <w:lang w:val="en-US" w:eastAsia="zh-CN"/>
        </w:rPr>
        <w:t>20</w:t>
      </w:r>
      <w:r>
        <w:rPr>
          <w:rFonts w:hint="eastAsia" w:ascii="仿宋_GB2312" w:eastAsia="仿宋_GB2312"/>
          <w:sz w:val="32"/>
          <w:szCs w:val="32"/>
        </w:rPr>
        <w:t>年绩效评价推进工作，加强我区项目支出绩效管理，提高财政资金使用效益和公共服务质量。</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（二）项目绩效目标</w:t>
      </w:r>
    </w:p>
    <w:p>
      <w:pPr>
        <w:spacing w:line="580" w:lineRule="exact"/>
        <w:ind w:firstLine="640" w:firstLineChars="200"/>
        <w:rPr>
          <w:rFonts w:hint="default" w:eastAsia="方正仿宋_GBK"/>
          <w:sz w:val="32"/>
          <w:szCs w:val="32"/>
          <w:lang w:val="en-US" w:eastAsia="zh-CN"/>
        </w:rPr>
      </w:pPr>
      <w:r>
        <w:rPr>
          <w:rFonts w:hint="eastAsia" w:ascii="仿宋" w:hAnsi="仿宋" w:eastAsia="仿宋" w:cs="仿宋"/>
          <w:sz w:val="32"/>
          <w:szCs w:val="32"/>
          <w:lang w:eastAsia="zh-CN"/>
        </w:rPr>
        <w:t>为全区预算部门缴纳财政内网专线租赁费；为财政内网联通备用线路。</w:t>
      </w:r>
    </w:p>
    <w:p>
      <w:pPr>
        <w:spacing w:line="580" w:lineRule="exact"/>
        <w:rPr>
          <w:rFonts w:hint="eastAsia" w:eastAsia="方正仿宋_GBK"/>
          <w:sz w:val="32"/>
          <w:szCs w:val="32"/>
        </w:rPr>
      </w:pPr>
      <w:r>
        <w:rPr>
          <w:rFonts w:hint="eastAsia" w:eastAsia="方正仿宋_GBK"/>
          <w:sz w:val="32"/>
          <w:szCs w:val="32"/>
        </w:rPr>
        <w:t>二、绩效评价工作开展情况</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（一）绩效评价目的</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（二）绩效评价工作过程</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本部门为实现绩效评价工作，我局成立评价小组并安排专门人员负责20</w:t>
      </w:r>
      <w:r>
        <w:rPr>
          <w:rFonts w:hint="eastAsia" w:ascii="仿宋" w:hAnsi="仿宋" w:eastAsia="仿宋" w:cs="仿宋"/>
          <w:sz w:val="32"/>
          <w:szCs w:val="32"/>
          <w:lang w:val="en-US" w:eastAsia="zh-CN"/>
        </w:rPr>
        <w:t>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3"/>
        </w:numPr>
        <w:spacing w:line="580" w:lineRule="exact"/>
        <w:rPr>
          <w:rFonts w:hint="eastAsia" w:eastAsia="方正仿宋_GBK"/>
          <w:sz w:val="32"/>
          <w:szCs w:val="32"/>
        </w:rPr>
      </w:pPr>
      <w:r>
        <w:rPr>
          <w:rFonts w:hint="eastAsia" w:eastAsia="方正仿宋_GBK"/>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财政信息化建设及内网维护</w:t>
      </w:r>
      <w:r>
        <w:rPr>
          <w:rFonts w:hint="eastAsia" w:ascii="仿宋" w:hAnsi="仿宋" w:eastAsia="仿宋" w:cs="仿宋"/>
          <w:sz w:val="32"/>
          <w:szCs w:val="32"/>
        </w:rPr>
        <w:t>费</w:t>
      </w:r>
      <w:r>
        <w:rPr>
          <w:rFonts w:ascii="仿宋" w:hAnsi="仿宋" w:eastAsia="仿宋" w:cs="仿宋"/>
          <w:sz w:val="32"/>
          <w:szCs w:val="32"/>
        </w:rPr>
        <w:t>专项资金项目的资金申报、评审、批准、下达程序规范、资金分配合理，符合相关资金管理办法的规定。积极履行项目管理职责，加强项目的日常跟踪管理，定期检查资金使用情况。项目组织机构健全。实施程序规范，组织实施情况良好。项目资金使用合规，无截留、挤占、挪用项目资金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我局的财务信息规范、健全，各项支付手续完备，准确地记录和反映了项目支出的具体情况，原始凭证、会计账簿、财务报表等会计资料都能按期编制、整理归档。</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按照财政支出绩效评价指标体系评分标准，</w:t>
      </w:r>
      <w:r>
        <w:rPr>
          <w:rFonts w:hint="eastAsia" w:ascii="仿宋" w:hAnsi="仿宋" w:eastAsia="仿宋" w:cs="仿宋"/>
          <w:sz w:val="32"/>
          <w:szCs w:val="32"/>
          <w:lang w:eastAsia="zh-CN"/>
        </w:rPr>
        <w:t>财政信息化建设及内网维护</w:t>
      </w:r>
      <w:r>
        <w:rPr>
          <w:rFonts w:hint="eastAsia" w:ascii="仿宋" w:hAnsi="仿宋" w:eastAsia="仿宋" w:cs="仿宋"/>
          <w:sz w:val="32"/>
          <w:szCs w:val="32"/>
        </w:rPr>
        <w:t>费使用情况良好，无超范围使用或其他不当情形，共计9</w:t>
      </w:r>
      <w:r>
        <w:rPr>
          <w:rFonts w:hint="eastAsia" w:ascii="仿宋" w:hAnsi="仿宋" w:eastAsia="仿宋" w:cs="仿宋"/>
          <w:sz w:val="32"/>
          <w:szCs w:val="32"/>
          <w:lang w:val="en-US" w:eastAsia="zh-CN"/>
        </w:rPr>
        <w:t>8</w:t>
      </w:r>
      <w:r>
        <w:rPr>
          <w:rFonts w:hint="eastAsia" w:ascii="仿宋" w:hAnsi="仿宋" w:eastAsia="仿宋" w:cs="仿宋"/>
          <w:sz w:val="32"/>
          <w:szCs w:val="32"/>
        </w:rPr>
        <w:t>分，拟自评等级为优。</w:t>
      </w:r>
    </w:p>
    <w:p>
      <w:pPr>
        <w:widowControl/>
        <w:shd w:val="clear" w:color="auto" w:fill="FFFFFF"/>
        <w:spacing w:line="432" w:lineRule="auto"/>
        <w:ind w:firstLine="640" w:firstLineChars="200"/>
        <w:jc w:val="left"/>
        <w:rPr>
          <w:rFonts w:hint="eastAsia" w:ascii="仿宋" w:hAnsi="仿宋" w:eastAsia="仿宋" w:cs="仿宋"/>
          <w:sz w:val="32"/>
          <w:szCs w:val="32"/>
        </w:rPr>
      </w:pPr>
    </w:p>
    <w:p>
      <w:pPr>
        <w:spacing w:line="300" w:lineRule="exact"/>
        <w:rPr>
          <w:rFonts w:hint="eastAsia" w:ascii="黑体" w:hAnsi="黑体" w:eastAsia="黑体"/>
          <w:sz w:val="32"/>
          <w:szCs w:val="32"/>
        </w:rPr>
      </w:pPr>
    </w:p>
    <w:p>
      <w:pPr>
        <w:spacing w:line="300" w:lineRule="exact"/>
        <w:rPr>
          <w:rFonts w:ascii="黑体" w:hAnsi="黑体" w:eastAsia="黑体"/>
          <w:sz w:val="32"/>
          <w:szCs w:val="32"/>
        </w:rPr>
      </w:pPr>
      <w:r>
        <w:rPr>
          <w:rFonts w:hint="eastAsia" w:ascii="黑体" w:hAnsi="黑体" w:eastAsia="黑体"/>
          <w:sz w:val="32"/>
          <w:szCs w:val="32"/>
        </w:rPr>
        <w:t>附件1</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527"/>
        <w:gridCol w:w="977"/>
        <w:gridCol w:w="944"/>
        <w:gridCol w:w="529"/>
        <w:gridCol w:w="567"/>
        <w:gridCol w:w="284"/>
        <w:gridCol w:w="708"/>
      </w:tblGrid>
      <w:tr>
        <w:tblPrEx>
          <w:tblCellMar>
            <w:top w:w="0" w:type="dxa"/>
            <w:left w:w="108" w:type="dxa"/>
            <w:bottom w:w="0" w:type="dxa"/>
            <w:right w:w="108" w:type="dxa"/>
          </w:tblCellMar>
        </w:tblPrEx>
        <w:trPr>
          <w:trHeight w:val="454" w:hRule="exact"/>
          <w:jc w:val="center"/>
        </w:trPr>
        <w:tc>
          <w:tcPr>
            <w:tcW w:w="9080" w:type="dxa"/>
            <w:gridSpan w:val="12"/>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90" w:hRule="atLeast"/>
          <w:jc w:val="center"/>
        </w:trPr>
        <w:tc>
          <w:tcPr>
            <w:tcW w:w="9080" w:type="dxa"/>
            <w:gridSpan w:val="12"/>
            <w:tcBorders>
              <w:top w:val="nil"/>
              <w:left w:val="nil"/>
              <w:bottom w:val="nil"/>
              <w:right w:val="nil"/>
            </w:tcBorders>
            <w:noWrap w:val="0"/>
            <w:vAlign w:val="top"/>
          </w:tcPr>
          <w:p>
            <w:pPr>
              <w:widowControl/>
              <w:jc w:val="center"/>
              <w:rPr>
                <w:rFonts w:ascii="宋体" w:hAnsi="宋体" w:cs="宋体"/>
                <w:kern w:val="0"/>
                <w:sz w:val="22"/>
                <w:szCs w:val="22"/>
              </w:rPr>
            </w:pPr>
            <w:r>
              <w:rPr>
                <w:rFonts w:hint="eastAsia" w:ascii="宋体" w:hAnsi="宋体" w:cs="宋体"/>
                <w:kern w:val="0"/>
                <w:sz w:val="22"/>
                <w:szCs w:val="22"/>
              </w:rPr>
              <w:t>（ 20</w:t>
            </w:r>
            <w:r>
              <w:rPr>
                <w:rFonts w:hint="eastAsia" w:ascii="宋体" w:hAnsi="宋体" w:cs="宋体"/>
                <w:kern w:val="0"/>
                <w:sz w:val="22"/>
                <w:szCs w:val="22"/>
                <w:lang w:val="en-US" w:eastAsia="zh-CN"/>
              </w:rPr>
              <w:t>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0"/>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财政信息化建设及内网维护</w:t>
            </w:r>
            <w:r>
              <w:rPr>
                <w:rFonts w:hint="eastAsia" w:ascii="宋体" w:hAnsi="宋体" w:cs="宋体"/>
                <w:kern w:val="0"/>
                <w:sz w:val="18"/>
                <w:szCs w:val="18"/>
              </w:rPr>
              <w:t>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48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088"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5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7.12</w:t>
            </w:r>
          </w:p>
        </w:tc>
        <w:tc>
          <w:tcPr>
            <w:tcW w:w="15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7.12</w:t>
            </w: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6.77</w:t>
            </w: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95</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1504" w:type="dxa"/>
            <w:gridSpan w:val="2"/>
            <w:tcBorders>
              <w:top w:val="nil"/>
              <w:left w:val="nil"/>
              <w:bottom w:val="single" w:color="auto" w:sz="4" w:space="0"/>
              <w:right w:val="single" w:color="auto" w:sz="4" w:space="0"/>
            </w:tcBorders>
            <w:noWrap w:val="0"/>
            <w:vAlign w:val="center"/>
          </w:tcPr>
          <w:p>
            <w:pPr>
              <w:widowControl/>
              <w:spacing w:line="240" w:lineRule="exact"/>
              <w:jc w:val="both"/>
              <w:rPr>
                <w:rFonts w:hint="default" w:ascii="宋体" w:hAnsi="宋体" w:eastAsia="宋体" w:cs="宋体"/>
                <w:kern w:val="0"/>
                <w:sz w:val="18"/>
                <w:szCs w:val="18"/>
                <w:lang w:val="en-US" w:eastAsia="zh-CN"/>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5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5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46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03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841"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46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000000"/>
                <w:szCs w:val="21"/>
                <w:lang w:val="en-US" w:eastAsia="zh-CN"/>
              </w:rPr>
            </w:pPr>
            <w:r>
              <w:rPr>
                <w:rFonts w:hint="eastAsia" w:ascii="宋体" w:hAnsi="宋体" w:cs="宋体"/>
                <w:color w:val="000000"/>
                <w:szCs w:val="21"/>
                <w:lang w:eastAsia="zh-CN"/>
              </w:rPr>
              <w:t>为全区预算部门缴纳财政内网专线租赁费；为财政内网联通备用线路。</w:t>
            </w:r>
          </w:p>
          <w:p>
            <w:pPr>
              <w:widowControl/>
              <w:spacing w:line="240" w:lineRule="exact"/>
              <w:jc w:val="center"/>
              <w:rPr>
                <w:rFonts w:ascii="宋体" w:hAnsi="宋体" w:cs="宋体"/>
                <w:kern w:val="0"/>
                <w:szCs w:val="21"/>
              </w:rPr>
            </w:pPr>
          </w:p>
        </w:tc>
        <w:tc>
          <w:tcPr>
            <w:tcW w:w="303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Arial" w:hAnsi="Arial" w:eastAsia="宋体" w:cs="Arial"/>
                <w:color w:val="333333"/>
                <w:szCs w:val="21"/>
                <w:lang w:eastAsia="zh-CN"/>
              </w:rPr>
            </w:pPr>
            <w:r>
              <w:rPr>
                <w:rFonts w:hint="eastAsia" w:ascii="Arial" w:hAnsi="Arial" w:cs="Arial"/>
                <w:color w:val="333333"/>
                <w:szCs w:val="21"/>
                <w:lang w:eastAsia="zh-CN"/>
              </w:rPr>
              <w:t>已完成</w:t>
            </w:r>
          </w:p>
          <w:p>
            <w:pPr>
              <w:widowControl/>
              <w:spacing w:line="240" w:lineRule="exact"/>
              <w:jc w:val="center"/>
              <w:rPr>
                <w:rFonts w:hint="eastAsia" w:ascii="宋体" w:hAnsi="宋体" w:cs="宋体"/>
                <w:kern w:val="0"/>
                <w:szCs w:val="21"/>
              </w:rPr>
            </w:pPr>
          </w:p>
        </w:tc>
      </w:tr>
      <w:tr>
        <w:tblPrEx>
          <w:tblCellMar>
            <w:top w:w="0" w:type="dxa"/>
            <w:left w:w="108" w:type="dxa"/>
            <w:bottom w:w="0" w:type="dxa"/>
            <w:right w:w="108" w:type="dxa"/>
          </w:tblCellMar>
        </w:tblPrEx>
        <w:trPr>
          <w:trHeight w:val="685" w:hRule="exact"/>
          <w:jc w:val="center"/>
        </w:trPr>
        <w:tc>
          <w:tcPr>
            <w:tcW w:w="58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68"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全区财政部门</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1</w:t>
            </w: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线路畅通</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w:t>
            </w: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9"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20"/>
                <w:szCs w:val="20"/>
                <w:lang w:bidi="ar"/>
              </w:rPr>
              <w:t>完成时间</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r>
              <w:rPr>
                <w:rFonts w:hint="eastAsia" w:ascii="宋体" w:hAnsi="宋体" w:cs="宋体"/>
                <w:kern w:val="0"/>
                <w:sz w:val="18"/>
                <w:szCs w:val="18"/>
                <w:lang w:val="en-US" w:eastAsia="zh-CN"/>
              </w:rPr>
              <w:t>20</w:t>
            </w:r>
            <w:r>
              <w:rPr>
                <w:rFonts w:hint="eastAsia" w:ascii="宋体" w:hAnsi="宋体" w:cs="宋体"/>
                <w:kern w:val="0"/>
                <w:sz w:val="18"/>
                <w:szCs w:val="18"/>
              </w:rPr>
              <w:t>年底</w:t>
            </w: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r>
              <w:rPr>
                <w:rFonts w:hint="eastAsia" w:ascii="宋体" w:hAnsi="宋体" w:cs="宋体"/>
                <w:kern w:val="0"/>
                <w:sz w:val="18"/>
                <w:szCs w:val="18"/>
                <w:lang w:val="en-US" w:eastAsia="zh-CN"/>
              </w:rPr>
              <w:t>20</w:t>
            </w:r>
            <w:r>
              <w:rPr>
                <w:rFonts w:hint="eastAsia" w:ascii="宋体" w:hAnsi="宋体" w:cs="宋体"/>
                <w:kern w:val="0"/>
                <w:sz w:val="18"/>
                <w:szCs w:val="18"/>
              </w:rPr>
              <w:t>年底</w:t>
            </w: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68"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方正仿宋_GBK"/>
                <w:color w:val="000000"/>
                <w:kern w:val="0"/>
                <w:sz w:val="20"/>
                <w:szCs w:val="20"/>
                <w:lang w:bidi="ar"/>
              </w:rPr>
              <w:t>资金投入</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7.12</w:t>
            </w: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6.77</w:t>
            </w: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86"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20"/>
                <w:szCs w:val="20"/>
                <w:lang w:bidi="ar"/>
              </w:rPr>
              <w:t>提高政务服务水平</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良好</w:t>
            </w: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良好</w:t>
            </w: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ascii="宋体" w:hAnsi="宋体" w:cs="宋体"/>
                <w:kern w:val="0"/>
                <w:sz w:val="18"/>
                <w:szCs w:val="18"/>
              </w:rPr>
              <w:t>10</w:t>
            </w: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86"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20"/>
                <w:szCs w:val="20"/>
                <w:lang w:bidi="ar"/>
              </w:rPr>
              <w:t>有效降低能源消耗</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良好</w:t>
            </w: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良好</w:t>
            </w: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ascii="宋体" w:hAnsi="宋体" w:cs="宋体"/>
                <w:kern w:val="0"/>
                <w:sz w:val="18"/>
                <w:szCs w:val="18"/>
              </w:rPr>
              <w:t>10</w:t>
            </w: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ascii="宋体" w:hAnsi="宋体" w:cs="宋体"/>
                <w:kern w:val="0"/>
                <w:sz w:val="18"/>
                <w:szCs w:val="18"/>
              </w:rPr>
              <w:t>10</w:t>
            </w: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20"/>
                <w:szCs w:val="20"/>
                <w:lang w:bidi="ar"/>
              </w:rPr>
              <w:t>提高办公效率</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良好</w:t>
            </w: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良好</w:t>
            </w: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sz w:val="20"/>
                <w:szCs w:val="20"/>
              </w:rPr>
              <w:t>职工满意度</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color w:val="000000"/>
                <w:sz w:val="20"/>
                <w:szCs w:val="20"/>
              </w:rPr>
              <w:t>≥90%</w:t>
            </w: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color w:val="000000"/>
                <w:sz w:val="20"/>
                <w:szCs w:val="20"/>
              </w:rPr>
              <w:t>≥90%</w:t>
            </w: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7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4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52" w:hRule="exact"/>
          <w:jc w:val="center"/>
        </w:trPr>
        <w:tc>
          <w:tcPr>
            <w:tcW w:w="6992"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2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99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pPr>
        <w:rPr>
          <w:rFonts w:hint="eastAsia" w:ascii="黑体" w:hAnsi="黑体" w:eastAsia="黑体"/>
        </w:rPr>
      </w:pPr>
      <w:r>
        <w:rPr>
          <w:rFonts w:hint="eastAsia" w:ascii="黑体" w:hAnsi="黑体" w:eastAsia="黑体"/>
        </w:rPr>
        <w:t xml:space="preserve">   </w:t>
      </w:r>
    </w:p>
    <w:p>
      <w:pPr>
        <w:rPr>
          <w:rFonts w:hint="eastAsia" w:ascii="黑体" w:hAnsi="黑体" w:eastAsia="黑体"/>
        </w:rPr>
      </w:pPr>
    </w:p>
    <w:p>
      <w:pPr>
        <w:rPr>
          <w:rFonts w:hint="eastAsia" w:ascii="黑体" w:hAnsi="黑体" w:eastAsia="黑体"/>
        </w:rPr>
      </w:pP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预算绩效委托评价费</w:t>
      </w:r>
      <w:r>
        <w:rPr>
          <w:rFonts w:ascii="仿宋" w:hAnsi="仿宋" w:eastAsia="仿宋" w:cs="仿宋"/>
          <w:sz w:val="32"/>
          <w:szCs w:val="32"/>
        </w:rPr>
        <w:t>专项资金预算时，明确了目标和工作任务等。项目决策指标</w:t>
      </w:r>
      <w:r>
        <w:rPr>
          <w:rFonts w:hint="eastAsia" w:ascii="仿宋" w:hAnsi="仿宋" w:eastAsia="仿宋" w:cs="仿宋"/>
          <w:sz w:val="32"/>
          <w:szCs w:val="32"/>
          <w:lang w:val="en-US" w:eastAsia="zh-CN"/>
        </w:rPr>
        <w:t>10</w:t>
      </w:r>
      <w:r>
        <w:rPr>
          <w:rFonts w:ascii="仿宋" w:hAnsi="仿宋" w:eastAsia="仿宋" w:cs="仿宋"/>
          <w:sz w:val="32"/>
          <w:szCs w:val="32"/>
        </w:rPr>
        <w:t>分，实际得分</w:t>
      </w:r>
      <w:r>
        <w:rPr>
          <w:rFonts w:hint="eastAsia" w:ascii="仿宋" w:hAnsi="仿宋" w:eastAsia="仿宋" w:cs="仿宋"/>
          <w:sz w:val="32"/>
          <w:szCs w:val="32"/>
          <w:lang w:val="en-US" w:eastAsia="zh-CN"/>
        </w:rPr>
        <w:t>10</w:t>
      </w:r>
      <w:r>
        <w:rPr>
          <w:rFonts w:ascii="仿宋" w:hAnsi="仿宋" w:eastAsia="仿宋" w:cs="仿宋"/>
          <w:sz w:val="32"/>
          <w:szCs w:val="32"/>
        </w:rPr>
        <w:t>分。</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w:t>
      </w:r>
      <w:r>
        <w:rPr>
          <w:rFonts w:hint="eastAsia" w:ascii="仿宋" w:hAnsi="仿宋" w:eastAsia="仿宋" w:cs="仿宋"/>
          <w:sz w:val="32"/>
          <w:szCs w:val="32"/>
          <w:lang w:eastAsia="zh-CN"/>
        </w:rPr>
        <w:t>，</w:t>
      </w:r>
      <w:r>
        <w:rPr>
          <w:rFonts w:ascii="仿宋" w:hAnsi="仿宋" w:eastAsia="仿宋" w:cs="仿宋"/>
          <w:sz w:val="32"/>
          <w:szCs w:val="32"/>
        </w:rPr>
        <w:t>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rPr>
        <w:t>4</w:t>
      </w:r>
      <w:r>
        <w:rPr>
          <w:rFonts w:hint="eastAsia" w:ascii="仿宋" w:hAnsi="仿宋" w:eastAsia="仿宋" w:cs="仿宋"/>
          <w:sz w:val="32"/>
          <w:szCs w:val="32"/>
          <w:lang w:val="en-US" w:eastAsia="zh-CN"/>
        </w:rPr>
        <w:t>8</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（三）项目效益情况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w:t>
      </w:r>
      <w:r>
        <w:rPr>
          <w:rFonts w:hint="eastAsia" w:ascii="仿宋" w:hAnsi="仿宋" w:eastAsia="仿宋" w:cs="仿宋"/>
          <w:sz w:val="32"/>
          <w:szCs w:val="32"/>
        </w:rPr>
        <w:t>政务服务得</w:t>
      </w:r>
      <w:r>
        <w:rPr>
          <w:rFonts w:ascii="仿宋" w:hAnsi="仿宋" w:eastAsia="仿宋" w:cs="仿宋"/>
          <w:sz w:val="32"/>
          <w:szCs w:val="32"/>
        </w:rPr>
        <w:t>到提升，项目经济效益、社会效益显著，项目效果指标分值30分，实际得分</w:t>
      </w:r>
      <w:r>
        <w:rPr>
          <w:rFonts w:hint="eastAsia" w:ascii="仿宋" w:hAnsi="仿宋" w:eastAsia="仿宋" w:cs="仿宋"/>
          <w:sz w:val="32"/>
          <w:szCs w:val="32"/>
          <w:lang w:val="en-US" w:eastAsia="zh-CN"/>
        </w:rPr>
        <w:t>,30</w:t>
      </w:r>
      <w:r>
        <w:rPr>
          <w:rFonts w:ascii="仿宋" w:hAnsi="仿宋" w:eastAsia="仿宋" w:cs="仿宋"/>
          <w:sz w:val="32"/>
          <w:szCs w:val="32"/>
        </w:rPr>
        <w:t>分。</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（四）项目满意度指标</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服务对象满意度90%以上，该项目效果指标分值1</w:t>
      </w:r>
      <w:r>
        <w:rPr>
          <w:rFonts w:ascii="仿宋" w:hAnsi="仿宋" w:eastAsia="仿宋" w:cs="仿宋"/>
          <w:sz w:val="32"/>
          <w:szCs w:val="32"/>
        </w:rPr>
        <w:t>0</w:t>
      </w:r>
      <w:r>
        <w:rPr>
          <w:rFonts w:hint="eastAsia" w:ascii="仿宋" w:hAnsi="仿宋" w:eastAsia="仿宋" w:cs="仿宋"/>
          <w:sz w:val="32"/>
          <w:szCs w:val="32"/>
        </w:rPr>
        <w:t>分，实际得分1</w:t>
      </w:r>
      <w:r>
        <w:rPr>
          <w:rFonts w:ascii="仿宋" w:hAnsi="仿宋" w:eastAsia="仿宋" w:cs="仿宋"/>
          <w:sz w:val="32"/>
          <w:szCs w:val="32"/>
        </w:rPr>
        <w:t>0</w:t>
      </w:r>
      <w:r>
        <w:rPr>
          <w:rFonts w:hint="eastAsia"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spacing w:line="580" w:lineRule="exact"/>
        <w:ind w:firstLine="640" w:firstLineChars="200"/>
        <w:rPr>
          <w:rFonts w:hint="eastAsia" w:ascii="仿宋_GB2312" w:hAnsi="å®‹ä½“" w:eastAsia="仿宋_GB2312" w:cs="仿宋_GB2312"/>
          <w:color w:val="000000"/>
          <w:kern w:val="0"/>
          <w:sz w:val="32"/>
          <w:szCs w:val="32"/>
          <w:shd w:val="clear" w:color="auto" w:fill="FFFFFF"/>
          <w:lang w:eastAsia="zh-CN" w:bidi="ar"/>
        </w:rPr>
      </w:pPr>
      <w:bookmarkStart w:id="0" w:name="_GoBack"/>
      <w:bookmarkEnd w:id="0"/>
      <w:r>
        <w:rPr>
          <w:rFonts w:hint="eastAsia" w:ascii="仿宋_GB2312" w:hAnsi="å®‹ä½“" w:eastAsia="仿宋_GB2312" w:cs="仿宋_GB2312"/>
          <w:color w:val="000000"/>
          <w:kern w:val="0"/>
          <w:sz w:val="32"/>
          <w:szCs w:val="32"/>
          <w:shd w:val="clear" w:color="auto" w:fill="FFFFFF"/>
          <w:lang w:eastAsia="zh-CN" w:bidi="ar"/>
        </w:rPr>
        <w:t>无</w:t>
      </w:r>
    </w:p>
    <w:p>
      <w:pPr>
        <w:spacing w:line="580" w:lineRule="exact"/>
        <w:rPr>
          <w:rFonts w:hint="eastAsia" w:eastAsia="方正仿宋_GBK"/>
          <w:sz w:val="32"/>
          <w:szCs w:val="32"/>
        </w:rPr>
      </w:pPr>
      <w:r>
        <w:rPr>
          <w:rFonts w:hint="eastAsia" w:eastAsia="方正仿宋_GBK"/>
          <w:sz w:val="32"/>
          <w:szCs w:val="32"/>
        </w:rPr>
        <w:t>六、建议</w:t>
      </w:r>
    </w:p>
    <w:p>
      <w:pPr>
        <w:spacing w:line="600" w:lineRule="exact"/>
        <w:ind w:firstLine="640" w:firstLineChars="200"/>
        <w:rPr>
          <w:rFonts w:ascii="仿宋_GB2312" w:eastAsia="仿宋_GB2312"/>
          <w:bCs/>
          <w:sz w:val="32"/>
          <w:szCs w:val="32"/>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r>
        <w:rPr>
          <w:rFonts w:hint="eastAsia" w:ascii="仿宋_GB2312" w:hAnsi="å®‹ä½“" w:eastAsia="仿宋_GB2312" w:cs="仿宋_GB2312"/>
          <w:color w:val="000000"/>
          <w:kern w:val="0"/>
          <w:sz w:val="32"/>
          <w:szCs w:val="32"/>
          <w:shd w:val="clear" w:color="auto" w:fill="FFFFFF"/>
          <w:lang w:eastAsia="zh-CN" w:bidi="ar"/>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7B2366"/>
    <w:multiLevelType w:val="singleLevel"/>
    <w:tmpl w:val="987B2366"/>
    <w:lvl w:ilvl="0" w:tentative="0">
      <w:start w:val="3"/>
      <w:numFmt w:val="chineseCounting"/>
      <w:suff w:val="nothing"/>
      <w:lvlText w:val="%1、"/>
      <w:lvlJc w:val="left"/>
      <w:rPr>
        <w:rFonts w:hint="eastAsia"/>
      </w:rPr>
    </w:lvl>
  </w:abstractNum>
  <w:abstractNum w:abstractNumId="1">
    <w:nsid w:val="3102F617"/>
    <w:multiLevelType w:val="singleLevel"/>
    <w:tmpl w:val="3102F617"/>
    <w:lvl w:ilvl="0" w:tentative="0">
      <w:start w:val="1"/>
      <w:numFmt w:val="chineseCounting"/>
      <w:suff w:val="nothing"/>
      <w:lvlText w:val="（%1）"/>
      <w:lvlJc w:val="left"/>
      <w:rPr>
        <w:rFonts w:hint="eastAsia"/>
      </w:rPr>
    </w:lvl>
  </w:abstractNum>
  <w:abstractNum w:abstractNumId="2">
    <w:nsid w:val="3269676A"/>
    <w:multiLevelType w:val="singleLevel"/>
    <w:tmpl w:val="3269676A"/>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933CD6"/>
    <w:rsid w:val="23280064"/>
    <w:rsid w:val="31721A4C"/>
    <w:rsid w:val="47881287"/>
    <w:rsid w:val="699F5E2C"/>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2021-05-19T02:29:26Z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6864B1E45C274BC4869735B4E22083A5</vt:lpwstr>
  </property>
</Properties>
</file>