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cs="宋体"/>
          <w:b/>
          <w:bCs/>
          <w:sz w:val="36"/>
          <w:szCs w:val="36"/>
        </w:rPr>
      </w:pPr>
      <w:r>
        <w:rPr>
          <w:rFonts w:hint="eastAsia" w:ascii="宋体" w:hAnsi="宋体" w:cs="宋体"/>
          <w:b/>
          <w:bCs/>
          <w:sz w:val="36"/>
          <w:szCs w:val="36"/>
        </w:rPr>
        <w:t>项目支出绩效评价报告</w:t>
      </w:r>
    </w:p>
    <w:p>
      <w:pPr>
        <w:spacing w:line="580" w:lineRule="exact"/>
        <w:jc w:val="center"/>
        <w:rPr>
          <w:rFonts w:ascii="仿宋_GB2312" w:eastAsia="仿宋_GB2312"/>
          <w:b/>
          <w:bCs/>
          <w:sz w:val="40"/>
          <w:szCs w:val="40"/>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我局成立评价小组并安排专门人员负责2020年绩效评价推进工作，加强我区项目支出绩效管理，提高财政资金使用效益和公共服务质量 。</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项目绩效目标。</w:t>
      </w:r>
    </w:p>
    <w:p>
      <w:pPr>
        <w:widowControl/>
        <w:shd w:val="clear" w:color="auto" w:fill="FFFFFF"/>
        <w:spacing w:line="432" w:lineRule="auto"/>
        <w:ind w:firstLine="640" w:firstLineChars="200"/>
        <w:jc w:val="left"/>
        <w:rPr>
          <w:rFonts w:ascii="仿宋_GB2312" w:eastAsia="仿宋_GB2312"/>
          <w:sz w:val="32"/>
          <w:szCs w:val="32"/>
          <w:highlight w:val="none"/>
        </w:rPr>
      </w:pPr>
      <w:r>
        <w:rPr>
          <w:rFonts w:hint="eastAsia" w:ascii="仿宋" w:hAnsi="仿宋" w:eastAsia="仿宋" w:cs="仿宋"/>
          <w:sz w:val="32"/>
          <w:szCs w:val="32"/>
          <w:highlight w:val="none"/>
        </w:rPr>
        <w:t xml:space="preserve"> 2020年度为保证月岛七项资产价值评估工作，资金主要用于支付评估公司对月岛七项资产进行评估的费用。</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为加强我区项目支出绩效管理，提高财政资金使用效益和公共服务质量，本部门制定绩效自评制度办法，组织实施本部门的绩效自评工作，加强绩效自评结果应用，并对自评结果的真实性、合法性、完整性负责。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（二）项目支出绩效自评表。</w:t>
      </w:r>
    </w:p>
    <w:tbl>
      <w:tblPr>
        <w:tblStyle w:val="4"/>
        <w:tblpPr w:leftFromText="180" w:rightFromText="180" w:vertAnchor="text" w:horzAnchor="page" w:tblpX="2152" w:tblpY="211"/>
        <w:tblOverlap w:val="never"/>
        <w:tblW w:w="9080" w:type="dxa"/>
        <w:tblInd w:w="0" w:type="dxa"/>
        <w:tblLayout w:type="fixed"/>
        <w:tblCellMar>
          <w:top w:w="0" w:type="dxa"/>
          <w:left w:w="108" w:type="dxa"/>
          <w:bottom w:w="0" w:type="dxa"/>
          <w:right w:w="108" w:type="dxa"/>
        </w:tblCellMar>
      </w:tblPr>
      <w:tblGrid>
        <w:gridCol w:w="588"/>
        <w:gridCol w:w="980"/>
        <w:gridCol w:w="1112"/>
        <w:gridCol w:w="730"/>
        <w:gridCol w:w="1134"/>
        <w:gridCol w:w="100"/>
        <w:gridCol w:w="1276"/>
        <w:gridCol w:w="709"/>
        <w:gridCol w:w="183"/>
        <w:gridCol w:w="384"/>
        <w:gridCol w:w="325"/>
        <w:gridCol w:w="242"/>
        <w:gridCol w:w="609"/>
        <w:gridCol w:w="708"/>
      </w:tblGrid>
      <w:tr>
        <w:tblPrEx>
          <w:tblCellMar>
            <w:top w:w="0" w:type="dxa"/>
            <w:left w:w="108" w:type="dxa"/>
            <w:bottom w:w="0" w:type="dxa"/>
            <w:right w:w="108" w:type="dxa"/>
          </w:tblCellMar>
        </w:tblPrEx>
        <w:trPr>
          <w:trHeight w:val="300" w:hRule="exact"/>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资产评估费                            （万元）</w:t>
            </w:r>
          </w:p>
        </w:tc>
      </w:tr>
      <w:tr>
        <w:tblPrEx>
          <w:tblCellMar>
            <w:top w:w="0" w:type="dxa"/>
            <w:left w:w="108" w:type="dxa"/>
            <w:bottom w:w="0" w:type="dxa"/>
            <w:right w:w="108" w:type="dxa"/>
          </w:tblCellMar>
        </w:tblPrEx>
        <w:trPr>
          <w:trHeight w:val="300" w:hRule="exact"/>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5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财政局</w:t>
            </w:r>
          </w:p>
        </w:tc>
        <w:tc>
          <w:tcPr>
            <w:tcW w:w="8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财政局</w:t>
            </w:r>
          </w:p>
        </w:tc>
      </w:tr>
      <w:tr>
        <w:tblPrEx>
          <w:tblCellMar>
            <w:top w:w="0" w:type="dxa"/>
            <w:left w:w="108" w:type="dxa"/>
            <w:bottom w:w="0" w:type="dxa"/>
            <w:right w:w="108" w:type="dxa"/>
          </w:tblCellMar>
        </w:tblPrEx>
        <w:trPr>
          <w:trHeight w:val="300" w:hRule="exact"/>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8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14.95</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14.95</w:t>
            </w:r>
          </w:p>
        </w:tc>
        <w:tc>
          <w:tcPr>
            <w:tcW w:w="8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14.95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3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6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3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保障日常工作正常开展。</w:t>
            </w:r>
          </w:p>
        </w:tc>
        <w:tc>
          <w:tcPr>
            <w:tcW w:w="316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日常工作正常开展。</w:t>
            </w:r>
          </w:p>
        </w:tc>
      </w:tr>
      <w:tr>
        <w:tblPrEx>
          <w:tblCellMar>
            <w:top w:w="0" w:type="dxa"/>
            <w:left w:w="108" w:type="dxa"/>
            <w:bottom w:w="0" w:type="dxa"/>
            <w:right w:w="108" w:type="dxa"/>
          </w:tblCellMar>
        </w:tblPrEx>
        <w:trPr>
          <w:trHeight w:val="533" w:hRule="exact"/>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指标1：2份报告</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指标1：运行正常</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指标1：完成时间</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2020年6月</w:t>
            </w:r>
          </w:p>
        </w:tc>
        <w:tc>
          <w:tcPr>
            <w:tcW w:w="709"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指标1：费用</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14.95</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14.95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指标1：完成资产评估</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指标1：遵守使用纪律</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遵守</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遵守</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ascii="宋体" w:hAnsi="宋体" w:cs="宋体"/>
                <w:color w:val="000000"/>
                <w:kern w:val="0"/>
                <w:sz w:val="18"/>
                <w:szCs w:val="18"/>
              </w:rPr>
              <w:t xml:space="preserve"> </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指标1：正常使用</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良好</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良好</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6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66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综合评价情况及评价结论</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highlight w:val="none"/>
        </w:rPr>
        <w:t>2020</w:t>
      </w:r>
      <w:r>
        <w:rPr>
          <w:rFonts w:ascii="仿宋" w:hAnsi="仿宋" w:eastAsia="仿宋" w:cs="仿宋"/>
          <w:sz w:val="32"/>
          <w:szCs w:val="32"/>
          <w:highlight w:val="none"/>
        </w:rPr>
        <w:t>年度</w:t>
      </w:r>
      <w:r>
        <w:rPr>
          <w:rFonts w:hint="eastAsia" w:ascii="仿宋" w:hAnsi="仿宋" w:eastAsia="仿宋" w:cs="仿宋"/>
          <w:sz w:val="32"/>
          <w:szCs w:val="32"/>
          <w:highlight w:val="none"/>
        </w:rPr>
        <w:t>资产评估费</w:t>
      </w:r>
      <w:r>
        <w:rPr>
          <w:rFonts w:ascii="仿宋" w:hAnsi="仿宋" w:eastAsia="仿宋" w:cs="仿宋"/>
          <w:sz w:val="32"/>
          <w:szCs w:val="32"/>
          <w:highlight w:val="none"/>
        </w:rPr>
        <w:t>专项资金项目的资金申报、评审、批准、下达程序规范、资金分配合理，符合相关</w:t>
      </w:r>
      <w:r>
        <w:rPr>
          <w:rFonts w:ascii="仿宋" w:hAnsi="仿宋" w:eastAsia="仿宋" w:cs="仿宋"/>
          <w:sz w:val="32"/>
          <w:szCs w:val="32"/>
        </w:rPr>
        <w:t>资金管理办法的规定。积极履行项目管理职责，加强项目的日常跟踪管理，定期检查资金使用情况。项目组织机构健全。实施程序规范，组织实施情况良好。项目资金使用合规，无截留、挤占、挪用项目资金情况。</w:t>
      </w:r>
    </w:p>
    <w:p>
      <w:pPr>
        <w:widowControl/>
        <w:shd w:val="clear" w:color="auto" w:fill="FFFFFF"/>
        <w:spacing w:line="432" w:lineRule="auto"/>
        <w:ind w:firstLine="640" w:firstLineChars="200"/>
        <w:jc w:val="left"/>
        <w:rPr>
          <w:rFonts w:ascii="仿宋" w:hAnsi="仿宋" w:eastAsia="仿宋" w:cs="仿宋"/>
          <w:sz w:val="32"/>
          <w:szCs w:val="32"/>
          <w:highlight w:val="none"/>
        </w:rPr>
      </w:pPr>
      <w:r>
        <w:rPr>
          <w:rFonts w:ascii="仿宋" w:hAnsi="仿宋" w:eastAsia="仿宋" w:cs="仿宋"/>
          <w:sz w:val="32"/>
          <w:szCs w:val="32"/>
        </w:rPr>
        <w:t>我局的财务信息规范、健全，各项支付手续完备，准确地记录和反映了项目支出的具体情况，原始凭证、会计账簿、财</w:t>
      </w:r>
      <w:r>
        <w:rPr>
          <w:rFonts w:ascii="仿宋" w:hAnsi="仿宋" w:eastAsia="仿宋" w:cs="仿宋"/>
          <w:sz w:val="32"/>
          <w:szCs w:val="32"/>
          <w:highlight w:val="none"/>
        </w:rPr>
        <w:t>务报表等会计资料都能按期编制、整理归档。</w:t>
      </w:r>
    </w:p>
    <w:p>
      <w:pPr>
        <w:widowControl/>
        <w:shd w:val="clear" w:color="auto" w:fill="FFFFFF"/>
        <w:spacing w:line="432" w:lineRule="auto"/>
        <w:ind w:firstLine="640" w:firstLineChars="200"/>
        <w:jc w:val="left"/>
        <w:rPr>
          <w:rFonts w:ascii="黑体" w:hAnsi="黑体" w:eastAsia="仿宋"/>
          <w:sz w:val="32"/>
          <w:szCs w:val="32"/>
          <w:highlight w:val="none"/>
        </w:rPr>
      </w:pPr>
      <w:r>
        <w:rPr>
          <w:rFonts w:hint="eastAsia" w:ascii="仿宋" w:hAnsi="仿宋" w:eastAsia="仿宋" w:cs="仿宋"/>
          <w:sz w:val="32"/>
          <w:szCs w:val="32"/>
          <w:highlight w:val="none"/>
        </w:rPr>
        <w:t>按照财政支出绩效评价指标体系评分标准，资产评估费使用情况良好，无超范围使用或其他不当情形，共计100分，拟自评等级为优。</w:t>
      </w:r>
    </w:p>
    <w:p>
      <w:p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四、绩效评价指标分析</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ascii="仿宋_GB2312" w:eastAsia="仿宋_GB2312"/>
          <w:sz w:val="32"/>
          <w:szCs w:val="32"/>
          <w:highlight w:val="none"/>
        </w:rPr>
      </w:pPr>
      <w:bookmarkStart w:id="0" w:name="_GoBack"/>
      <w:r>
        <w:rPr>
          <w:rFonts w:hint="eastAsia" w:ascii="仿宋" w:hAnsi="仿宋" w:eastAsia="仿宋" w:cs="仿宋"/>
          <w:sz w:val="32"/>
          <w:szCs w:val="32"/>
          <w:highlight w:val="none"/>
        </w:rPr>
        <w:t>2020</w:t>
      </w:r>
      <w:r>
        <w:rPr>
          <w:rFonts w:ascii="仿宋" w:hAnsi="仿宋" w:eastAsia="仿宋" w:cs="仿宋"/>
          <w:sz w:val="32"/>
          <w:szCs w:val="32"/>
          <w:highlight w:val="none"/>
        </w:rPr>
        <w:t>年度项目立项依据充分、程序合规、项目资金使用计划可行、审批手续齐全。</w:t>
      </w:r>
      <w:r>
        <w:rPr>
          <w:rFonts w:hint="eastAsia" w:ascii="仿宋" w:hAnsi="仿宋" w:eastAsia="仿宋" w:cs="仿宋"/>
          <w:sz w:val="32"/>
          <w:szCs w:val="32"/>
          <w:highlight w:val="none"/>
        </w:rPr>
        <w:t>我局</w:t>
      </w:r>
      <w:r>
        <w:rPr>
          <w:rFonts w:ascii="仿宋" w:hAnsi="仿宋" w:eastAsia="仿宋" w:cs="仿宋"/>
          <w:sz w:val="32"/>
          <w:szCs w:val="32"/>
          <w:highlight w:val="none"/>
        </w:rPr>
        <w:t>在制定</w:t>
      </w:r>
      <w:r>
        <w:rPr>
          <w:rFonts w:hint="eastAsia" w:ascii="仿宋" w:hAnsi="仿宋" w:eastAsia="仿宋" w:cs="仿宋"/>
          <w:sz w:val="32"/>
          <w:szCs w:val="32"/>
          <w:highlight w:val="none"/>
        </w:rPr>
        <w:t>2020</w:t>
      </w:r>
      <w:r>
        <w:rPr>
          <w:rFonts w:ascii="仿宋" w:hAnsi="仿宋" w:eastAsia="仿宋" w:cs="仿宋"/>
          <w:sz w:val="32"/>
          <w:szCs w:val="32"/>
          <w:highlight w:val="none"/>
        </w:rPr>
        <w:t>年度</w:t>
      </w:r>
      <w:r>
        <w:rPr>
          <w:rFonts w:hint="eastAsia" w:ascii="仿宋" w:hAnsi="仿宋" w:eastAsia="仿宋" w:cs="仿宋"/>
          <w:sz w:val="32"/>
          <w:szCs w:val="32"/>
          <w:highlight w:val="none"/>
        </w:rPr>
        <w:t>资产评估费</w:t>
      </w:r>
      <w:r>
        <w:rPr>
          <w:rFonts w:ascii="仿宋" w:hAnsi="仿宋" w:eastAsia="仿宋" w:cs="仿宋"/>
          <w:sz w:val="32"/>
          <w:szCs w:val="32"/>
          <w:highlight w:val="none"/>
        </w:rPr>
        <w:t>专项资金预算时，明确了目标和工作任务等。</w:t>
      </w:r>
      <w:r>
        <w:rPr>
          <w:rFonts w:hint="eastAsia" w:ascii="仿宋" w:hAnsi="仿宋" w:eastAsia="仿宋" w:cs="仿宋"/>
          <w:sz w:val="32"/>
          <w:szCs w:val="32"/>
          <w:highlight w:val="none"/>
        </w:rPr>
        <w:t>实际支出达到</w:t>
      </w:r>
      <w:r>
        <w:rPr>
          <w:rFonts w:ascii="仿宋" w:hAnsi="仿宋" w:eastAsia="仿宋" w:cs="仿宋"/>
          <w:sz w:val="32"/>
          <w:szCs w:val="32"/>
          <w:highlight w:val="none"/>
        </w:rPr>
        <w:t>预期设定的目标值。项目决策指标</w:t>
      </w:r>
      <w:r>
        <w:rPr>
          <w:rFonts w:hint="eastAsia" w:ascii="仿宋" w:hAnsi="仿宋" w:eastAsia="仿宋" w:cs="仿宋"/>
          <w:sz w:val="32"/>
          <w:szCs w:val="32"/>
          <w:highlight w:val="none"/>
        </w:rPr>
        <w:t>10</w:t>
      </w:r>
      <w:r>
        <w:rPr>
          <w:rFonts w:ascii="仿宋" w:hAnsi="仿宋" w:eastAsia="仿宋" w:cs="仿宋"/>
          <w:sz w:val="32"/>
          <w:szCs w:val="32"/>
          <w:highlight w:val="none"/>
        </w:rPr>
        <w:t>分，实际得分</w:t>
      </w:r>
      <w:r>
        <w:rPr>
          <w:rFonts w:hint="eastAsia" w:ascii="仿宋" w:hAnsi="仿宋" w:eastAsia="仿宋" w:cs="仿宋"/>
          <w:sz w:val="32"/>
          <w:szCs w:val="32"/>
          <w:highlight w:val="none"/>
        </w:rPr>
        <w:t>10</w:t>
      </w:r>
      <w:r>
        <w:rPr>
          <w:rFonts w:ascii="仿宋" w:hAnsi="仿宋" w:eastAsia="仿宋" w:cs="仿宋"/>
          <w:sz w:val="32"/>
          <w:szCs w:val="32"/>
          <w:highlight w:val="none"/>
        </w:rPr>
        <w:t>分。</w:t>
      </w:r>
    </w:p>
    <w:p>
      <w:pPr>
        <w:widowControl/>
        <w:shd w:val="clear" w:color="auto" w:fill="FFFFFF"/>
        <w:spacing w:line="432" w:lineRule="auto"/>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（二）项目产出情况。</w:t>
      </w:r>
    </w:p>
    <w:p>
      <w:pPr>
        <w:widowControl/>
        <w:shd w:val="clear" w:color="auto" w:fill="FFFFFF"/>
        <w:spacing w:line="432" w:lineRule="auto"/>
        <w:ind w:firstLine="640" w:firstLineChars="200"/>
        <w:jc w:val="left"/>
        <w:rPr>
          <w:rFonts w:ascii="仿宋_GB2312" w:eastAsia="仿宋_GB2312"/>
          <w:sz w:val="32"/>
          <w:szCs w:val="32"/>
          <w:highlight w:val="none"/>
        </w:rPr>
      </w:pPr>
      <w:r>
        <w:rPr>
          <w:rFonts w:ascii="仿宋" w:hAnsi="仿宋" w:eastAsia="仿宋" w:cs="仿宋"/>
          <w:sz w:val="32"/>
          <w:szCs w:val="32"/>
          <w:highlight w:val="none"/>
        </w:rPr>
        <w:t>项目产出指标分值</w:t>
      </w:r>
      <w:r>
        <w:rPr>
          <w:rFonts w:hint="eastAsia" w:ascii="仿宋" w:hAnsi="仿宋" w:eastAsia="仿宋" w:cs="仿宋"/>
          <w:sz w:val="32"/>
          <w:szCs w:val="32"/>
          <w:highlight w:val="none"/>
        </w:rPr>
        <w:t>50</w:t>
      </w:r>
      <w:r>
        <w:rPr>
          <w:rFonts w:ascii="仿宋" w:hAnsi="仿宋" w:eastAsia="仿宋" w:cs="仿宋"/>
          <w:sz w:val="32"/>
          <w:szCs w:val="32"/>
          <w:highlight w:val="none"/>
        </w:rPr>
        <w:t>分，实际完成情况达到了预期设定的目标值，</w:t>
      </w:r>
      <w:r>
        <w:rPr>
          <w:rFonts w:hint="eastAsia" w:ascii="仿宋" w:hAnsi="仿宋" w:eastAsia="仿宋" w:cs="仿宋"/>
          <w:sz w:val="32"/>
          <w:szCs w:val="32"/>
          <w:highlight w:val="none"/>
        </w:rPr>
        <w:t>综合得分50分</w:t>
      </w:r>
      <w:r>
        <w:rPr>
          <w:rFonts w:ascii="仿宋" w:hAnsi="仿宋" w:eastAsia="仿宋" w:cs="仿宋"/>
          <w:sz w:val="32"/>
          <w:szCs w:val="32"/>
          <w:highlight w:val="none"/>
        </w:rPr>
        <w:t>。</w:t>
      </w:r>
    </w:p>
    <w:p>
      <w:pPr>
        <w:numPr>
          <w:ilvl w:val="0"/>
          <w:numId w:val="1"/>
        </w:num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项目效益情况。</w:t>
      </w:r>
    </w:p>
    <w:p>
      <w:pPr>
        <w:spacing w:line="600" w:lineRule="exact"/>
        <w:ind w:firstLine="640" w:firstLineChars="200"/>
        <w:outlineLvl w:val="0"/>
        <w:rPr>
          <w:rFonts w:ascii="仿宋_GB2312" w:eastAsia="仿宋_GB2312"/>
          <w:sz w:val="32"/>
          <w:szCs w:val="32"/>
          <w:highlight w:val="none"/>
        </w:rPr>
      </w:pPr>
      <w:r>
        <w:rPr>
          <w:rFonts w:ascii="仿宋" w:hAnsi="仿宋" w:eastAsia="仿宋" w:cs="仿宋"/>
          <w:sz w:val="32"/>
          <w:szCs w:val="32"/>
          <w:highlight w:val="none"/>
        </w:rPr>
        <w:t>通过项目实施，</w:t>
      </w:r>
      <w:r>
        <w:rPr>
          <w:rFonts w:hint="eastAsia" w:ascii="仿宋" w:hAnsi="仿宋" w:eastAsia="仿宋" w:cs="仿宋"/>
          <w:sz w:val="32"/>
          <w:szCs w:val="32"/>
          <w:highlight w:val="none"/>
        </w:rPr>
        <w:t>保障了单位日常工作运转</w:t>
      </w:r>
      <w:r>
        <w:rPr>
          <w:rFonts w:ascii="仿宋" w:hAnsi="仿宋" w:eastAsia="仿宋" w:cs="仿宋"/>
          <w:sz w:val="32"/>
          <w:szCs w:val="32"/>
          <w:highlight w:val="none"/>
        </w:rPr>
        <w:t>。项目效果指标分值</w:t>
      </w:r>
      <w:r>
        <w:rPr>
          <w:rFonts w:hint="eastAsia" w:ascii="仿宋" w:hAnsi="仿宋" w:eastAsia="仿宋" w:cs="仿宋"/>
          <w:sz w:val="32"/>
          <w:szCs w:val="32"/>
          <w:highlight w:val="none"/>
        </w:rPr>
        <w:t>40</w:t>
      </w:r>
      <w:r>
        <w:rPr>
          <w:rFonts w:ascii="仿宋" w:hAnsi="仿宋" w:eastAsia="仿宋" w:cs="仿宋"/>
          <w:sz w:val="32"/>
          <w:szCs w:val="32"/>
          <w:highlight w:val="none"/>
        </w:rPr>
        <w:t>分，实际得分</w:t>
      </w:r>
      <w:r>
        <w:rPr>
          <w:rFonts w:hint="eastAsia" w:ascii="仿宋" w:hAnsi="仿宋" w:eastAsia="仿宋" w:cs="仿宋"/>
          <w:sz w:val="32"/>
          <w:szCs w:val="32"/>
          <w:highlight w:val="none"/>
        </w:rPr>
        <w:t>40</w:t>
      </w:r>
      <w:r>
        <w:rPr>
          <w:rFonts w:ascii="仿宋" w:hAnsi="仿宋" w:eastAsia="仿宋" w:cs="仿宋"/>
          <w:sz w:val="32"/>
          <w:szCs w:val="32"/>
          <w:highlight w:val="none"/>
        </w:rPr>
        <w:t>分。</w:t>
      </w:r>
    </w:p>
    <w:p>
      <w:pPr>
        <w:numPr>
          <w:ilvl w:val="0"/>
          <w:numId w:val="2"/>
        </w:num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主要经验及做法、存在的问题及原因分析</w:t>
      </w:r>
    </w:p>
    <w:bookmarkEnd w:id="0"/>
    <w:p>
      <w:pPr>
        <w:widowControl/>
        <w:shd w:val="clear" w:color="auto" w:fill="FFFFFF"/>
        <w:spacing w:line="432" w:lineRule="auto"/>
        <w:ind w:firstLine="640" w:firstLineChars="200"/>
        <w:jc w:val="left"/>
        <w:rPr>
          <w:rFonts w:ascii="黑体" w:hAnsi="黑体" w:eastAsia="黑体"/>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r>
        <w:rPr>
          <w:rFonts w:hint="eastAsia" w:ascii="仿宋_GB2312" w:hAnsi="å®‹ä½“" w:eastAsia="仿宋_GB2312" w:cs="仿宋_GB2312"/>
          <w:color w:val="000000"/>
          <w:kern w:val="0"/>
          <w:sz w:val="32"/>
          <w:szCs w:val="32"/>
          <w:shd w:val="clear" w:color="auto" w:fill="FFFFFF"/>
        </w:rPr>
        <w:t>专项资金管理水平有待提高，绩效目标</w:t>
      </w:r>
      <w:r>
        <w:rPr>
          <w:rFonts w:ascii="仿宋_GB2312" w:hAnsi="å®‹ä½“" w:eastAsia="仿宋_GB2312" w:cs="仿宋_GB2312"/>
          <w:color w:val="000000"/>
          <w:kern w:val="0"/>
          <w:sz w:val="32"/>
          <w:szCs w:val="32"/>
          <w:shd w:val="clear" w:color="auto" w:fill="FFFFFF"/>
        </w:rPr>
        <w:t>的完成与预期的略有偏离</w:t>
      </w:r>
      <w:r>
        <w:rPr>
          <w:rFonts w:hint="eastAsia" w:ascii="仿宋_GB2312" w:hAnsi="å®‹ä½“" w:eastAsia="仿宋_GB2312" w:cs="仿宋_GB2312"/>
          <w:color w:val="000000"/>
          <w:kern w:val="0"/>
          <w:sz w:val="32"/>
          <w:szCs w:val="32"/>
          <w:shd w:val="clear" w:color="auto" w:fill="FFFFFF"/>
        </w:rPr>
        <w:t>。项目绩效管理制度不够完善。</w:t>
      </w:r>
    </w:p>
    <w:p>
      <w:pPr>
        <w:numPr>
          <w:ilvl w:val="0"/>
          <w:numId w:val="2"/>
        </w:numPr>
        <w:spacing w:line="600" w:lineRule="exact"/>
        <w:ind w:firstLine="640" w:firstLineChars="200"/>
        <w:rPr>
          <w:rFonts w:ascii="黑体" w:hAnsi="黑体" w:eastAsia="黑体"/>
          <w:sz w:val="32"/>
          <w:szCs w:val="32"/>
        </w:rPr>
      </w:pPr>
      <w:r>
        <w:rPr>
          <w:rFonts w:hint="eastAsia" w:ascii="黑体" w:hAnsi="黑体" w:eastAsia="黑体"/>
          <w:sz w:val="32"/>
          <w:szCs w:val="32"/>
        </w:rPr>
        <w:t>有关建议</w:t>
      </w:r>
    </w:p>
    <w:p>
      <w:pPr>
        <w:widowControl/>
        <w:shd w:val="clear" w:color="auto" w:fill="FFFFFF"/>
        <w:spacing w:before="300" w:line="560" w:lineRule="atLeast"/>
        <w:ind w:firstLine="640" w:firstLineChars="200"/>
        <w:jc w:val="left"/>
        <w:rPr>
          <w:rFonts w:hint="eastAsia" w:ascii="å®‹ä½“" w:hAnsi="å®‹ä½“" w:eastAsia="仿宋_GB2312" w:cs="å®‹ä½“"/>
          <w:color w:val="333333"/>
          <w:sz w:val="24"/>
          <w:lang w:eastAsia="zh-CN"/>
        </w:rPr>
        <w:sectPr>
          <w:headerReference r:id="rId3" w:type="default"/>
          <w:pgSz w:w="11906" w:h="16838"/>
          <w:pgMar w:top="1440" w:right="1800" w:bottom="1440" w:left="1800"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hint="eastAsia" w:ascii="仿宋_GB2312" w:hAnsi="å®‹ä½“" w:eastAsia="仿宋_GB2312" w:cs="仿宋_GB2312"/>
          <w:color w:val="000000"/>
          <w:kern w:val="0"/>
          <w:sz w:val="32"/>
          <w:szCs w:val="32"/>
          <w:shd w:val="clear" w:color="auto" w:fill="FFFFFF"/>
        </w:rPr>
        <w:t>现</w:t>
      </w:r>
      <w:r>
        <w:rPr>
          <w:rFonts w:hint="eastAsia" w:ascii="仿宋_GB2312" w:hAnsi="å®‹ä½“" w:eastAsia="仿宋_GB2312" w:cs="仿宋_GB2312"/>
          <w:color w:val="000000"/>
          <w:kern w:val="0"/>
          <w:sz w:val="32"/>
          <w:szCs w:val="32"/>
          <w:shd w:val="clear" w:color="auto" w:fill="FFFFFF"/>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DC4C6"/>
    <w:multiLevelType w:val="singleLevel"/>
    <w:tmpl w:val="1DADC4C6"/>
    <w:lvl w:ilvl="0" w:tentative="0">
      <w:start w:val="3"/>
      <w:numFmt w:val="chineseCounting"/>
      <w:suff w:val="nothing"/>
      <w:lvlText w:val="%1、"/>
      <w:lvlJc w:val="left"/>
      <w:rPr>
        <w:rFonts w:hint="eastAsia"/>
      </w:rPr>
    </w:lvl>
  </w:abstractNum>
  <w:abstractNum w:abstractNumId="1">
    <w:nsid w:val="4F93354F"/>
    <w:multiLevelType w:val="singleLevel"/>
    <w:tmpl w:val="4F93354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57753"/>
    <w:rsid w:val="000612EA"/>
    <w:rsid w:val="00192A94"/>
    <w:rsid w:val="001B5740"/>
    <w:rsid w:val="00204FD4"/>
    <w:rsid w:val="002925ED"/>
    <w:rsid w:val="002B1DAE"/>
    <w:rsid w:val="00374C76"/>
    <w:rsid w:val="003E34E3"/>
    <w:rsid w:val="00401F85"/>
    <w:rsid w:val="004E4148"/>
    <w:rsid w:val="006557A4"/>
    <w:rsid w:val="00695CFB"/>
    <w:rsid w:val="00732335"/>
    <w:rsid w:val="00904993"/>
    <w:rsid w:val="009F31B6"/>
    <w:rsid w:val="00B85D48"/>
    <w:rsid w:val="00B955D6"/>
    <w:rsid w:val="00BC3BE6"/>
    <w:rsid w:val="00D10FEB"/>
    <w:rsid w:val="00D57753"/>
    <w:rsid w:val="00FB036A"/>
    <w:rsid w:val="1B933CD6"/>
    <w:rsid w:val="220947D4"/>
    <w:rsid w:val="2B0A6189"/>
    <w:rsid w:val="2DA956D2"/>
    <w:rsid w:val="31721A4C"/>
    <w:rsid w:val="47881287"/>
    <w:rsid w:val="48B42922"/>
    <w:rsid w:val="56B96653"/>
    <w:rsid w:val="6B0B401A"/>
    <w:rsid w:val="724E5A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374</Words>
  <Characters>2133</Characters>
  <Lines>17</Lines>
  <Paragraphs>5</Paragraphs>
  <TotalTime>41</TotalTime>
  <ScaleCrop>false</ScaleCrop>
  <LinksUpToDate>false</LinksUpToDate>
  <CharactersWithSpaces>2502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2021-05-21T08:25:21Z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2BAEBC59242149A0A6997A190D0406C9</vt:lpwstr>
  </property>
</Properties>
</file>