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件1</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lang w:eastAsia="zh-CN"/>
              </w:rPr>
              <w:t>（河长办）</w:t>
            </w: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河湖划转编制设计费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唐山国际旅游岛社会事务管理局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河长制办公室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完成河湖名录的编制工作，切实保护水环境</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已完成河湖名录的编制工作</w:t>
            </w:r>
          </w:p>
        </w:tc>
      </w:tr>
      <w:tr>
        <w:tblPrEx>
          <w:tblCellMar>
            <w:top w:w="0" w:type="dxa"/>
            <w:left w:w="108" w:type="dxa"/>
            <w:bottom w:w="0" w:type="dxa"/>
            <w:right w:w="108" w:type="dxa"/>
          </w:tblCellMar>
        </w:tblPrEx>
        <w:trPr>
          <w:trHeight w:val="63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lang w:eastAsia="zh-CN"/>
              </w:rPr>
              <w:t>按时完成采购</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720" w:hanging="720" w:hangingChars="4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有力保护河湖环境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540" w:hanging="540" w:hangingChars="3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利于河长制工作开展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使用年限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社会满意度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（河长办）河湖编制设计费支出绩效评价</w:t>
      </w:r>
    </w:p>
    <w:p>
      <w:p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报告</w:t>
      </w:r>
    </w:p>
    <w:p>
      <w:pPr>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基础情况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为加强河湖管理，需对河湖管理范围进行复核及划定，利用此项支出聘请第三方对我区河湖管理范围进行复核及划定，并编制河湖划界方案。此项工作已于2020年8月完成，资金现已结清。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河湖编制设计费的年度总体目标是对我区河湖管理范围进行复核及划定，并编制河湖划界方案。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通过全面收集和整理该项预算项目的各种完成信息，包括预算请示、采购单、采购合同及资金支付凭证等，确认河湖编制设计费项目各项指标已全部完成。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按《唐山国际旅游岛财政局关于印发&lt;唐山国际旅游岛项目支出绩效自评管理办法&gt;的通知》要求，形成了河湖编制设计费支出绩效自评表（附后），对河湖编制设计费项目支出绩效情况进行了自评价。</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综合评价情况及评价结论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通过自评价，河湖编制设计费支出按年初预算的完成时限，按时完成了河湖管理范围复核及划定工作，并编制了河湖划界方案，已获管委会批准。此项支出按年度预算金额已拨付。</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河湖编制设计费支出年度绩效总体目标已完成。</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绩效评价指标分析</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决策情况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按《河北省水利厅关于扎实做好河湖管理范围复核及划定工作的通知》（冀水河湖[2019]22号）文件精神，为加强我区河湖管理，我局向管委会申请开展此项工作，得到管委会批准后，由河长办具体负责此工作。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河长办按政府采购程序，完成了项目支出的各项前期采购手续，同时与具有相应资质的第三方积极合作，克服疫情影响，按时完成了河湖管理范围复核及划定工作，并编制了河湖划界方案。</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完成年度预算数额，共投入资金50000元，并已完成拨付。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通过开展河湖管理范围复核及划定工作，将有利于我区对河湖的管理。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唐山国际旅游岛社会事务管理局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2021年2月5日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183254"/>
    <w:multiLevelType w:val="singleLevel"/>
    <w:tmpl w:val="CB183254"/>
    <w:lvl w:ilvl="0" w:tentative="0">
      <w:start w:val="1"/>
      <w:numFmt w:val="chineseCounting"/>
      <w:suff w:val="nothing"/>
      <w:lvlText w:val="（%1）"/>
      <w:lvlJc w:val="left"/>
      <w:rPr>
        <w:rFonts w:hint="eastAsia"/>
      </w:rPr>
    </w:lvl>
  </w:abstractNum>
  <w:abstractNum w:abstractNumId="1">
    <w:nsid w:val="E3D98698"/>
    <w:multiLevelType w:val="singleLevel"/>
    <w:tmpl w:val="E3D98698"/>
    <w:lvl w:ilvl="0" w:tentative="0">
      <w:start w:val="1"/>
      <w:numFmt w:val="chineseCounting"/>
      <w:suff w:val="nothing"/>
      <w:lvlText w:val="（%1）"/>
      <w:lvlJc w:val="left"/>
      <w:rPr>
        <w:rFonts w:hint="eastAsia"/>
      </w:rPr>
    </w:lvl>
  </w:abstractNum>
  <w:abstractNum w:abstractNumId="2">
    <w:nsid w:val="0EB7803C"/>
    <w:multiLevelType w:val="singleLevel"/>
    <w:tmpl w:val="0EB7803C"/>
    <w:lvl w:ilvl="0" w:tentative="0">
      <w:start w:val="1"/>
      <w:numFmt w:val="chineseCounting"/>
      <w:suff w:val="nothing"/>
      <w:lvlText w:val="%1、"/>
      <w:lvlJc w:val="left"/>
      <w:rPr>
        <w:rFonts w:hint="eastAsia"/>
      </w:rPr>
    </w:lvl>
  </w:abstractNum>
  <w:abstractNum w:abstractNumId="3">
    <w:nsid w:val="7FB892B1"/>
    <w:multiLevelType w:val="singleLevel"/>
    <w:tmpl w:val="7FB892B1"/>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590929"/>
    <w:rsid w:val="42CE4B0E"/>
    <w:rsid w:val="52ED6902"/>
    <w:rsid w:val="67590929"/>
    <w:rsid w:val="76FF1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2021-02-01T07:48:00Z</dcterms:created>
  <dc:creator>admin</dc:creator>
  <cp:lastModifiedBy> 你是光i</cp:lastModifiedBy>
  <cp:lastPrinted>2021-02-02T06:07:00Z</cp:lastPrinted>
  <dcterms:modified xsi:type="dcterms:W3CDTF">2021-02-19T06:42:19Z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