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辖区村回收散煤</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8.48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8.48万元以内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名称：辖区村回收散煤</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：用于我辖区</w:t>
      </w:r>
      <w:r>
        <w:rPr>
          <w:rFonts w:hint="eastAsia" w:ascii="仿宋_GB2312" w:eastAsia="仿宋_GB2312"/>
          <w:sz w:val="32"/>
          <w:szCs w:val="32"/>
          <w:lang w:val="en-US" w:eastAsia="zh-CN"/>
        </w:rPr>
        <w:t>6个村回收散煤的费用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8.48万元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全年执行数：8.48万元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用于我辖区</w:t>
      </w:r>
      <w:r>
        <w:rPr>
          <w:rFonts w:hint="eastAsia" w:ascii="仿宋_GB2312" w:eastAsia="仿宋_GB2312"/>
          <w:sz w:val="32"/>
          <w:szCs w:val="32"/>
          <w:lang w:val="en-US" w:eastAsia="zh-CN"/>
        </w:rPr>
        <w:t>6个村回收散煤的费用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8.48万元以内，按实际情况完成发放,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辖区村回收散煤</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辖区村回收散煤</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辖区村回收散煤</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辖区村回收散煤</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8.48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8.48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8.48</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保证我辖区散煤全部回收</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4D729BE"/>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2021-05-24T07:12:33Z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