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秸秆综合利用专项经费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7</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w:t>
      </w:r>
      <w:r>
        <w:rPr>
          <w:rFonts w:hint="eastAsia" w:ascii="仿宋_GB2312" w:eastAsia="仿宋_GB2312"/>
          <w:sz w:val="32"/>
          <w:szCs w:val="32"/>
          <w:lang w:eastAsia="zh-CN"/>
        </w:rPr>
        <w:t>名称：</w:t>
      </w:r>
      <w:r>
        <w:rPr>
          <w:rFonts w:hint="eastAsia" w:ascii="仿宋_GB2312" w:eastAsia="仿宋_GB2312"/>
          <w:sz w:val="32"/>
          <w:szCs w:val="32"/>
          <w:lang w:val="en-US" w:eastAsia="zh-CN"/>
        </w:rPr>
        <w:t>秸秆综合利用专项经费</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color w:val="000000"/>
          <w:sz w:val="32"/>
          <w:szCs w:val="32"/>
        </w:rPr>
        <w:t>秸秆随地堆放，存在安全隐患，抓紧落实秸秆焚烧工作</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7</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7</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 xml:space="preserve"> </w:t>
      </w:r>
      <w:r>
        <w:rPr>
          <w:rFonts w:hint="eastAsia" w:ascii="仿宋" w:hAnsi="仿宋" w:eastAsia="仿宋" w:cs="仿宋"/>
          <w:color w:val="000000"/>
          <w:sz w:val="32"/>
          <w:szCs w:val="32"/>
        </w:rPr>
        <w:t>秸秆随地堆放，存在安全隐患，抓紧落实秸秆焚烧工作</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7万元以内，按实际情况完成发放,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val="en-US" w:eastAsia="zh-CN"/>
        </w:rPr>
        <w:t>秸秆综合利用专项经费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val="en-US" w:eastAsia="zh-CN"/>
        </w:rPr>
        <w:t>秸秆综合利用专项经费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val="en-US" w:eastAsia="zh-CN"/>
        </w:rPr>
        <w:t>秸秆综合利用专项经费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val="en-US" w:eastAsia="zh-CN"/>
        </w:rPr>
        <w:t>秸秆综合利用专项经费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7</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7</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6.9</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99</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有效保护生态环境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132BB2"/>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17747CF"/>
    <w:rsid w:val="656F3766"/>
    <w:rsid w:val="685B4680"/>
    <w:rsid w:val="6CFC1941"/>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2021-05-24T08:52:33Z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