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cs="宋体"/>
          <w:b/>
          <w:bCs/>
          <w:sz w:val="36"/>
          <w:szCs w:val="36"/>
          <w:lang w:eastAsia="zh-CN"/>
        </w:rPr>
      </w:pPr>
      <w:r>
        <w:rPr>
          <w:rFonts w:hint="eastAsia" w:ascii="宋体" w:hAnsi="宋体" w:cs="宋体"/>
          <w:b/>
          <w:bCs/>
          <w:sz w:val="36"/>
          <w:szCs w:val="36"/>
          <w:lang w:eastAsia="zh-CN"/>
        </w:rPr>
        <w:t>劳务派遣人员工资</w:t>
      </w:r>
    </w:p>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项目支出绩效评价报告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根据《中华人民共和国预算法》、《中共唐山市委唐山市人民政府关于全面实施预算绩效管理的实施意见》等有关规定，结合我委实际，我委成立评价小组并安排专门人员负责20</w:t>
      </w:r>
      <w:r>
        <w:rPr>
          <w:rFonts w:hint="eastAsia" w:ascii="仿宋_GB2312" w:eastAsia="仿宋_GB2312"/>
          <w:sz w:val="32"/>
          <w:szCs w:val="32"/>
          <w:lang w:val="en-US" w:eastAsia="zh-CN"/>
        </w:rPr>
        <w:t>20</w:t>
      </w:r>
      <w:r>
        <w:rPr>
          <w:rFonts w:hint="eastAsia" w:ascii="仿宋_GB2312" w:eastAsia="仿宋_GB2312"/>
          <w:sz w:val="32"/>
          <w:szCs w:val="32"/>
          <w:lang w:eastAsia="zh-CN"/>
        </w:rPr>
        <w:t>年绩效评价推进工作，加强我区项目支出绩效管理，提高财政资金使用效益和公共服务质量。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（二）项目绩效目标</w:t>
      </w:r>
    </w:p>
    <w:p>
      <w:pPr>
        <w:spacing w:line="570" w:lineRule="exact"/>
        <w:ind w:firstLine="640" w:firstLineChars="200"/>
        <w:rPr>
          <w:rFonts w:hint="eastAsia" w:ascii="仿宋_GB2312" w:eastAsia="仿宋_GB2312"/>
          <w:sz w:val="32"/>
          <w:szCs w:val="32"/>
          <w:lang w:eastAsia="zh-CN"/>
        </w:rPr>
      </w:pPr>
      <w:r>
        <w:rPr>
          <w:rFonts w:hint="eastAsia" w:ascii="仿宋" w:hAnsi="仿宋" w:eastAsia="仿宋"/>
          <w:sz w:val="32"/>
          <w:szCs w:val="32"/>
          <w:lang w:eastAsia="zh-CN"/>
        </w:rPr>
        <w:t>按时缴纳管委会各局借调劳务人员工资。</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二、绩效评价工作开展情况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（一）绩效评价目的</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（二）绩效评价工作过程</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 xml:space="preserve"> 本部门为实现绩效评价工作，我委成立评价小组并安排专门人员负责20</w:t>
      </w:r>
      <w:r>
        <w:rPr>
          <w:rFonts w:hint="eastAsia" w:ascii="仿宋_GB2312" w:eastAsia="仿宋_GB2312"/>
          <w:sz w:val="32"/>
          <w:szCs w:val="32"/>
          <w:lang w:val="en-US" w:eastAsia="zh-CN"/>
        </w:rPr>
        <w:t>20</w:t>
      </w:r>
      <w:r>
        <w:rPr>
          <w:rFonts w:hint="eastAsia" w:ascii="仿宋_GB2312" w:eastAsia="仿宋_GB2312"/>
          <w:sz w:val="32"/>
          <w:szCs w:val="32"/>
          <w:lang w:eastAsia="zh-CN"/>
        </w:rPr>
        <w:t>年绩效评价推进工作，绩效自评工作遵循全面覆盖、程序简便、客观公正、公开透明的原则。并结合我委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按要求将评价结果公开，加强绩效评价运行监控，发现问题及时采取措施，确保绩效目标如期保质实现。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按要求开展部门项目支出绩效自评和重点评价工作，对评价中发现的问题及时整改，调整优化支出结构，提高财政资金使用效益。</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三、综合评价情况及评价结论</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唐山国际旅游岛管理委员会机关党委劳务派遣人员工资用</w:t>
      </w:r>
      <w:r>
        <w:rPr>
          <w:rFonts w:hint="eastAsia" w:ascii="仿宋_GB2312" w:eastAsia="仿宋_GB2312"/>
          <w:sz w:val="32"/>
          <w:szCs w:val="32"/>
          <w:lang w:val="en-US" w:eastAsia="zh-CN"/>
        </w:rPr>
        <w:t>30.81万元。</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我委的财务信息规范、健全，各项支付手续完备，准确地记录和反映了项目支出的具体情况，原始凭证、会计账簿、财务报表等会计资料都能按期编制、整理归档。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按照财政支出绩效评价指标体系评分标准，劳务派遣人员工资使用情况良好，无超范围使用或其他不当情形，共计</w:t>
      </w:r>
      <w:r>
        <w:rPr>
          <w:rFonts w:hint="eastAsia" w:ascii="仿宋_GB2312" w:eastAsia="仿宋_GB2312"/>
          <w:sz w:val="32"/>
          <w:szCs w:val="32"/>
          <w:lang w:val="en-US" w:eastAsia="zh-CN"/>
        </w:rPr>
        <w:t>100</w:t>
      </w:r>
      <w:r>
        <w:rPr>
          <w:rFonts w:hint="eastAsia" w:ascii="仿宋_GB2312" w:eastAsia="仿宋_GB2312"/>
          <w:sz w:val="32"/>
          <w:szCs w:val="32"/>
          <w:lang w:eastAsia="zh-CN"/>
        </w:rPr>
        <w:t>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spacing w:line="600" w:lineRule="exact"/>
        <w:ind w:firstLine="640" w:firstLineChars="200"/>
        <w:outlineLvl w:val="0"/>
        <w:rPr>
          <w:rFonts w:hint="eastAsia" w:ascii="仿宋_GB2312" w:eastAsia="仿宋_GB2312"/>
          <w:sz w:val="32"/>
          <w:szCs w:val="32"/>
          <w:lang w:eastAsia="zh-CN"/>
        </w:rPr>
      </w:pPr>
      <w:r>
        <w:rPr>
          <w:rFonts w:hint="eastAsia" w:ascii="仿宋" w:hAnsi="仿宋" w:eastAsia="仿宋" w:cs="仿宋"/>
          <w:sz w:val="32"/>
          <w:szCs w:val="32"/>
        </w:rPr>
        <w:t>（</w:t>
      </w:r>
      <w:r>
        <w:rPr>
          <w:rFonts w:hint="eastAsia" w:ascii="仿宋_GB2312" w:eastAsia="仿宋_GB2312"/>
          <w:sz w:val="32"/>
          <w:szCs w:val="32"/>
          <w:lang w:eastAsia="zh-CN"/>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2020</w:t>
      </w:r>
      <w:r>
        <w:rPr>
          <w:rFonts w:hint="eastAsia" w:ascii="仿宋_GB2312" w:eastAsia="仿宋_GB2312"/>
          <w:sz w:val="32"/>
          <w:szCs w:val="32"/>
          <w:lang w:eastAsia="zh-CN"/>
        </w:rPr>
        <w:t>年度劳务派遣人员工资专项资金项目立项依据充分、程序合规、项目资金使用计划可行、审批手续齐全。我局在制定</w:t>
      </w:r>
      <w:r>
        <w:rPr>
          <w:rFonts w:hint="eastAsia" w:ascii="仿宋_GB2312" w:eastAsia="仿宋_GB2312"/>
          <w:sz w:val="32"/>
          <w:szCs w:val="32"/>
          <w:lang w:val="en-US" w:eastAsia="zh-CN"/>
        </w:rPr>
        <w:t>2020</w:t>
      </w:r>
      <w:r>
        <w:rPr>
          <w:rFonts w:hint="eastAsia" w:ascii="仿宋_GB2312" w:eastAsia="仿宋_GB2312"/>
          <w:sz w:val="32"/>
          <w:szCs w:val="32"/>
          <w:lang w:eastAsia="zh-CN"/>
        </w:rPr>
        <w:t>年度劳务派遣人员工资专项资金预算时，做出费用支出计划由于其他费用支出比例的问题项目未达到预期设定的目标值。项目决策指标10分，实际得分</w:t>
      </w:r>
      <w:r>
        <w:rPr>
          <w:rFonts w:hint="eastAsia" w:ascii="仿宋_GB2312" w:eastAsia="仿宋_GB2312"/>
          <w:sz w:val="32"/>
          <w:szCs w:val="32"/>
          <w:lang w:val="en-US" w:eastAsia="zh-CN"/>
        </w:rPr>
        <w:t>10</w:t>
      </w:r>
      <w:r>
        <w:rPr>
          <w:rFonts w:hint="eastAsia" w:ascii="仿宋_GB2312" w:eastAsia="仿宋_GB2312"/>
          <w:sz w:val="32"/>
          <w:szCs w:val="32"/>
          <w:lang w:eastAsia="zh-CN"/>
        </w:rPr>
        <w:t>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项目产出指标实际完成情况基本达到了预期设定的目标值，产出指标的完成情况较好项目产出指标分值50分，实际得分</w:t>
      </w:r>
      <w:r>
        <w:rPr>
          <w:rFonts w:hint="eastAsia" w:ascii="仿宋_GB2312" w:eastAsia="仿宋_GB2312"/>
          <w:sz w:val="32"/>
          <w:szCs w:val="32"/>
          <w:lang w:val="en-US" w:eastAsia="zh-CN"/>
        </w:rPr>
        <w:t>50</w:t>
      </w:r>
      <w:r>
        <w:rPr>
          <w:rFonts w:hint="eastAsia" w:ascii="仿宋_GB2312" w:eastAsia="仿宋_GB2312"/>
          <w:sz w:val="32"/>
          <w:szCs w:val="32"/>
          <w:lang w:eastAsia="zh-CN"/>
        </w:rPr>
        <w:t>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通过项目实施，旅游岛劳务派遣人员工资，项目经济效益、社会效益显著，受益群体满意度均满意。项目效果指标分值40分，实际得分</w:t>
      </w:r>
      <w:r>
        <w:rPr>
          <w:rFonts w:hint="eastAsia" w:ascii="仿宋_GB2312" w:eastAsia="仿宋_GB2312"/>
          <w:sz w:val="32"/>
          <w:szCs w:val="32"/>
          <w:lang w:val="en-US" w:eastAsia="zh-CN"/>
        </w:rPr>
        <w:t>40</w:t>
      </w:r>
      <w:r>
        <w:rPr>
          <w:rFonts w:hint="eastAsia" w:ascii="仿宋_GB2312" w:eastAsia="仿宋_GB2312"/>
          <w:sz w:val="32"/>
          <w:szCs w:val="32"/>
          <w:lang w:eastAsia="zh-CN"/>
        </w:rPr>
        <w:t>分。</w:t>
      </w:r>
    </w:p>
    <w:p>
      <w:pPr>
        <w:spacing w:line="580" w:lineRule="exact"/>
        <w:rPr>
          <w:rFonts w:hint="eastAsia" w:eastAsia="方正仿宋_GBK"/>
          <w:sz w:val="32"/>
          <w:szCs w:val="32"/>
          <w:lang w:eastAsia="zh-CN"/>
        </w:rPr>
      </w:pPr>
      <w:r>
        <w:rPr>
          <w:rFonts w:hint="eastAsia" w:eastAsia="方正仿宋_GBK"/>
          <w:sz w:val="32"/>
          <w:szCs w:val="32"/>
          <w:lang w:eastAsia="zh-CN"/>
        </w:rPr>
        <w:t>五、主要经验及做法、存在的问题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（一）主要经验及做法</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1.严格控制，保证资金有效利用。我局严格按照适用范围使用资金，专款专用，严格遵守中央八项规定等相关规定，最大程度的发挥使用资金的效率性，未出现超范围使用等问题。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（二）存在的问题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专项资金管理水平有待提高，绩效目标的完成与预期的略有偏离。项目绩效管理制度不够完善。</w:t>
      </w:r>
    </w:p>
    <w:p>
      <w:pPr>
        <w:spacing w:line="580" w:lineRule="exact"/>
        <w:rPr>
          <w:rFonts w:hint="eastAsia" w:eastAsia="方正仿宋_GBK"/>
          <w:sz w:val="32"/>
          <w:szCs w:val="32"/>
          <w:lang w:eastAsia="zh-CN"/>
        </w:rPr>
      </w:pPr>
      <w:r>
        <w:rPr>
          <w:rFonts w:hint="eastAsia" w:eastAsia="方正仿宋_GBK"/>
          <w:sz w:val="32"/>
          <w:szCs w:val="32"/>
          <w:lang w:eastAsia="zh-CN"/>
        </w:rPr>
        <w:t>六、建议</w:t>
      </w:r>
    </w:p>
    <w:p>
      <w:pPr>
        <w:spacing w:line="600" w:lineRule="exact"/>
        <w:ind w:firstLine="640" w:firstLineChars="200"/>
        <w:outlineLvl w:val="0"/>
        <w:rPr>
          <w:rFonts w:hint="eastAsia" w:ascii="仿宋_GB2312" w:eastAsia="仿宋_GB2312"/>
          <w:sz w:val="32"/>
          <w:szCs w:val="32"/>
          <w:lang w:eastAsia="zh-CN"/>
        </w:rPr>
        <w:sectPr>
          <w:pgSz w:w="11906" w:h="16838"/>
          <w:pgMar w:top="1928" w:right="1531" w:bottom="1701" w:left="1531" w:header="737" w:footer="851" w:gutter="0"/>
          <w:cols w:space="720" w:num="1"/>
          <w:docGrid w:type="lines" w:linePitch="408" w:charSpace="0"/>
        </w:sectPr>
      </w:pPr>
      <w:r>
        <w:rPr>
          <w:rFonts w:hint="eastAsia" w:ascii="仿宋_GB2312" w:eastAsia="仿宋_GB2312"/>
          <w:sz w:val="32"/>
          <w:szCs w:val="32"/>
          <w:lang w:eastAsia="zh-CN"/>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0"/>
        </w:numPr>
        <w:spacing w:line="580" w:lineRule="exact"/>
        <w:rPr>
          <w:rFonts w:hint="eastAsia" w:eastAsia="方正仿宋_GBK"/>
          <w:sz w:val="21"/>
          <w:szCs w:val="21"/>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rPr>
              <w:t>派遣人员工资</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传媒中心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30.81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30.81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30.81</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lang w:eastAsia="zh-CN"/>
              </w:rPr>
              <w:t>劳务</w:t>
            </w:r>
            <w:r>
              <w:rPr>
                <w:rFonts w:hint="eastAsia"/>
              </w:rPr>
              <w:t>派遣人员工资</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lang w:eastAsia="zh-CN"/>
              </w:rPr>
              <w:t>劳务</w:t>
            </w:r>
            <w:r>
              <w:rPr>
                <w:rFonts w:hint="eastAsia"/>
              </w:rPr>
              <w:t>派遣人员工资</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68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数量指标</w:t>
            </w:r>
          </w:p>
        </w:tc>
        <w:tc>
          <w:tcPr>
            <w:tcW w:w="2148"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kern w:val="0"/>
                <w:sz w:val="18"/>
                <w:szCs w:val="18"/>
                <w:lang w:eastAsia="zh-CN"/>
              </w:rPr>
            </w:pPr>
            <w:r>
              <w:rPr>
                <w:rFonts w:hint="eastAsia" w:ascii="宋体" w:hAnsi="宋体" w:cs="宋体"/>
                <w:color w:val="000000"/>
                <w:sz w:val="15"/>
                <w:szCs w:val="15"/>
                <w:lang w:val="en-US" w:eastAsia="zh-CN"/>
              </w:rPr>
              <w:t>工资数额</w:t>
            </w:r>
          </w:p>
        </w:tc>
        <w:tc>
          <w:tcPr>
            <w:tcW w:w="850"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sz w:val="15"/>
                <w:szCs w:val="15"/>
                <w:lang w:val="en-US" w:eastAsia="zh-CN"/>
              </w:rPr>
              <w:t>30.81</w:t>
            </w:r>
          </w:p>
        </w:tc>
        <w:tc>
          <w:tcPr>
            <w:tcW w:w="85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sz w:val="15"/>
                <w:szCs w:val="15"/>
                <w:lang w:val="en-US" w:eastAsia="zh-CN"/>
              </w:rPr>
              <w:t>30.81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时效指标</w:t>
            </w:r>
          </w:p>
        </w:tc>
        <w:tc>
          <w:tcPr>
            <w:tcW w:w="2148" w:type="dxa"/>
            <w:gridSpan w:val="3"/>
            <w:tcBorders>
              <w:top w:val="single" w:color="auto" w:sz="4" w:space="0"/>
              <w:left w:val="nil"/>
              <w:right w:val="single" w:color="auto" w:sz="4" w:space="0"/>
            </w:tcBorders>
            <w:vAlign w:val="center"/>
          </w:tcPr>
          <w:p>
            <w:pPr>
              <w:jc w:val="center"/>
              <w:rPr>
                <w:rFonts w:hint="default" w:ascii="宋体" w:hAnsi="宋体" w:eastAsia="宋体" w:cs="宋体"/>
                <w:color w:val="000000"/>
                <w:kern w:val="0"/>
                <w:sz w:val="18"/>
                <w:szCs w:val="18"/>
                <w:lang w:val="en-US" w:eastAsia="zh-CN"/>
              </w:rPr>
            </w:pPr>
            <w:r>
              <w:rPr>
                <w:rFonts w:hint="eastAsia" w:ascii="宋体" w:hAnsi="宋体" w:cs="宋体"/>
                <w:color w:val="000000"/>
                <w:sz w:val="15"/>
                <w:szCs w:val="15"/>
                <w:lang w:val="en-US" w:eastAsia="zh-CN"/>
              </w:rPr>
              <w:t>及时发放</w:t>
            </w:r>
          </w:p>
        </w:tc>
        <w:tc>
          <w:tcPr>
            <w:tcW w:w="850"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1</w:t>
            </w:r>
            <w:r>
              <w:rPr>
                <w:rFonts w:hint="eastAsia" w:ascii="宋体" w:hAnsi="宋体" w:cs="宋体"/>
                <w:color w:val="000000"/>
                <w:sz w:val="15"/>
                <w:szCs w:val="15"/>
              </w:rPr>
              <w:t>个月　</w:t>
            </w:r>
          </w:p>
        </w:tc>
        <w:tc>
          <w:tcPr>
            <w:tcW w:w="851" w:type="dxa"/>
            <w:tcBorders>
              <w:top w:val="single" w:color="auto" w:sz="4" w:space="0"/>
              <w:left w:val="nil"/>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1</w:t>
            </w:r>
            <w:r>
              <w:rPr>
                <w:rFonts w:hint="eastAsia" w:ascii="宋体" w:hAnsi="宋体" w:cs="宋体"/>
                <w:color w:val="000000"/>
                <w:sz w:val="15"/>
                <w:szCs w:val="15"/>
              </w:rPr>
              <w:t>个月　</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质量指标</w:t>
            </w:r>
          </w:p>
        </w:tc>
        <w:tc>
          <w:tcPr>
            <w:tcW w:w="2148" w:type="dxa"/>
            <w:gridSpan w:val="3"/>
            <w:tcBorders>
              <w:top w:val="single" w:color="auto" w:sz="4" w:space="0"/>
              <w:left w:val="nil"/>
              <w:right w:val="single" w:color="auto" w:sz="4" w:space="0"/>
            </w:tcBorders>
            <w:vAlign w:val="center"/>
          </w:tcPr>
          <w:p>
            <w:pPr>
              <w:jc w:val="center"/>
              <w:rPr>
                <w:rFonts w:hint="eastAsia" w:ascii="宋体" w:hAnsi="宋体" w:eastAsia="宋体" w:cs="宋体"/>
                <w:color w:val="000000"/>
                <w:kern w:val="0"/>
                <w:sz w:val="18"/>
                <w:szCs w:val="18"/>
                <w:lang w:eastAsia="zh-CN"/>
              </w:rPr>
            </w:pPr>
            <w:r>
              <w:rPr>
                <w:rFonts w:hint="eastAsia" w:ascii="宋体" w:hAnsi="宋体" w:cs="宋体"/>
                <w:color w:val="000000"/>
                <w:sz w:val="15"/>
                <w:szCs w:val="15"/>
                <w:lang w:val="en-US" w:eastAsia="zh-CN"/>
              </w:rPr>
              <w:t>完成质量</w:t>
            </w:r>
          </w:p>
        </w:tc>
        <w:tc>
          <w:tcPr>
            <w:tcW w:w="85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1个月</w:t>
            </w:r>
          </w:p>
        </w:tc>
        <w:tc>
          <w:tcPr>
            <w:tcW w:w="85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1个月</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成本指标</w:t>
            </w:r>
          </w:p>
        </w:tc>
        <w:tc>
          <w:tcPr>
            <w:tcW w:w="2148" w:type="dxa"/>
            <w:gridSpan w:val="3"/>
            <w:tcBorders>
              <w:top w:val="single" w:color="auto" w:sz="4" w:space="0"/>
              <w:left w:val="nil"/>
              <w:right w:val="single" w:color="auto" w:sz="4" w:space="0"/>
            </w:tcBorders>
            <w:vAlign w:val="center"/>
          </w:tcPr>
          <w:p>
            <w:pPr>
              <w:jc w:val="center"/>
              <w:rPr>
                <w:rFonts w:hint="eastAsia" w:ascii="宋体" w:hAnsi="宋体" w:eastAsia="宋体" w:cs="宋体"/>
                <w:color w:val="000000"/>
                <w:kern w:val="0"/>
                <w:sz w:val="18"/>
                <w:szCs w:val="18"/>
                <w:lang w:eastAsia="zh-CN"/>
              </w:rPr>
            </w:pPr>
            <w:r>
              <w:rPr>
                <w:rFonts w:hint="eastAsia" w:ascii="宋体" w:hAnsi="宋体" w:cs="宋体"/>
                <w:color w:val="000000"/>
                <w:sz w:val="15"/>
                <w:szCs w:val="15"/>
                <w:lang w:val="en-US" w:eastAsia="zh-CN"/>
              </w:rPr>
              <w:t>人员经费</w:t>
            </w:r>
          </w:p>
        </w:tc>
        <w:tc>
          <w:tcPr>
            <w:tcW w:w="850" w:type="dxa"/>
            <w:tcBorders>
              <w:top w:val="single" w:color="auto" w:sz="4" w:space="0"/>
              <w:left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sz w:val="15"/>
                <w:szCs w:val="15"/>
              </w:rPr>
              <w:t>　</w:t>
            </w:r>
            <w:r>
              <w:rPr>
                <w:rFonts w:hint="eastAsia" w:ascii="宋体" w:hAnsi="宋体" w:cs="宋体"/>
                <w:color w:val="000000"/>
                <w:sz w:val="15"/>
                <w:szCs w:val="15"/>
                <w:lang w:val="en-US" w:eastAsia="zh-CN"/>
              </w:rPr>
              <w:t>30.81</w:t>
            </w:r>
          </w:p>
        </w:tc>
        <w:tc>
          <w:tcPr>
            <w:tcW w:w="851" w:type="dxa"/>
            <w:tcBorders>
              <w:top w:val="single" w:color="auto" w:sz="4" w:space="0"/>
              <w:left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sz w:val="15"/>
                <w:szCs w:val="15"/>
              </w:rPr>
              <w:t>　</w:t>
            </w:r>
            <w:r>
              <w:rPr>
                <w:rFonts w:hint="eastAsia" w:ascii="宋体" w:hAnsi="宋体" w:cs="宋体"/>
                <w:color w:val="000000"/>
                <w:sz w:val="15"/>
                <w:szCs w:val="15"/>
                <w:lang w:val="en-US" w:eastAsia="zh-CN"/>
              </w:rPr>
              <w:t>30.81</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经济效益指标</w:t>
            </w:r>
          </w:p>
        </w:tc>
        <w:tc>
          <w:tcPr>
            <w:tcW w:w="2148" w:type="dxa"/>
            <w:gridSpan w:val="3"/>
            <w:tcBorders>
              <w:top w:val="single" w:color="auto" w:sz="4" w:space="0"/>
              <w:left w:val="nil"/>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sz w:val="15"/>
                <w:szCs w:val="15"/>
                <w:lang w:val="en-US" w:eastAsia="zh-CN"/>
              </w:rPr>
              <w:t>就业机会</w:t>
            </w:r>
          </w:p>
        </w:tc>
        <w:tc>
          <w:tcPr>
            <w:tcW w:w="850"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增加居民就业机会，提高居民收入</w:t>
            </w:r>
          </w:p>
        </w:tc>
        <w:tc>
          <w:tcPr>
            <w:tcW w:w="851"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就业机会</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社会效益指标</w:t>
            </w:r>
          </w:p>
        </w:tc>
        <w:tc>
          <w:tcPr>
            <w:tcW w:w="2148" w:type="dxa"/>
            <w:gridSpan w:val="3"/>
            <w:tcBorders>
              <w:top w:val="single" w:color="auto" w:sz="4" w:space="0"/>
              <w:left w:val="nil"/>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sz w:val="15"/>
                <w:szCs w:val="15"/>
                <w:lang w:val="en-US" w:eastAsia="zh-CN"/>
              </w:rPr>
              <w:t>工作效率</w:t>
            </w:r>
          </w:p>
        </w:tc>
        <w:tc>
          <w:tcPr>
            <w:tcW w:w="850"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增加工作人员，提高工作效率</w:t>
            </w:r>
          </w:p>
        </w:tc>
        <w:tc>
          <w:tcPr>
            <w:tcW w:w="851"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工作效率</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可持续性影响</w:t>
            </w:r>
          </w:p>
        </w:tc>
        <w:tc>
          <w:tcPr>
            <w:tcW w:w="2148" w:type="dxa"/>
            <w:gridSpan w:val="3"/>
            <w:tcBorders>
              <w:top w:val="single" w:color="auto" w:sz="4" w:space="0"/>
              <w:left w:val="nil"/>
              <w:right w:val="single" w:color="auto" w:sz="4" w:space="0"/>
            </w:tcBorders>
            <w:vAlign w:val="center"/>
          </w:tcPr>
          <w:p>
            <w:pPr>
              <w:jc w:val="center"/>
              <w:rPr>
                <w:rFonts w:hint="eastAsia" w:ascii="宋体" w:hAnsi="宋体" w:eastAsia="宋体" w:cs="宋体"/>
                <w:color w:val="000000"/>
                <w:kern w:val="0"/>
                <w:sz w:val="18"/>
                <w:szCs w:val="18"/>
                <w:lang w:eastAsia="zh-CN"/>
              </w:rPr>
            </w:pPr>
            <w:r>
              <w:rPr>
                <w:rFonts w:hint="eastAsia" w:ascii="宋体" w:hAnsi="宋体" w:eastAsia="微软雅黑" w:cs="宋体"/>
                <w:color w:val="000000"/>
                <w:sz w:val="15"/>
                <w:szCs w:val="15"/>
                <w:lang w:val="en-US" w:eastAsia="zh-CN" w:bidi="ar-SA"/>
              </w:rPr>
              <w:t>提升业务能力</w:t>
            </w:r>
          </w:p>
        </w:tc>
        <w:tc>
          <w:tcPr>
            <w:tcW w:w="850"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eastAsia="微软雅黑" w:cs="宋体"/>
                <w:color w:val="000000"/>
                <w:sz w:val="15"/>
                <w:szCs w:val="15"/>
                <w:lang w:val="en-US" w:eastAsia="zh-CN" w:bidi="ar-SA"/>
              </w:rPr>
              <w:t>充实青年力量，提升业务能力</w:t>
            </w:r>
          </w:p>
        </w:tc>
        <w:tc>
          <w:tcPr>
            <w:tcW w:w="851"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eastAsia="微软雅黑" w:cs="宋体"/>
                <w:color w:val="000000"/>
                <w:sz w:val="15"/>
                <w:szCs w:val="15"/>
                <w:lang w:val="en-US" w:eastAsia="zh-CN" w:bidi="ar-SA"/>
              </w:rPr>
              <w:t>提升业务能力</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color w:val="000000"/>
                <w:sz w:val="15"/>
                <w:szCs w:val="15"/>
              </w:rPr>
              <w:t>服务对象满意度指标</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职工</w:t>
            </w:r>
            <w:bookmarkStart w:id="0" w:name="_GoBack"/>
            <w:bookmarkEnd w:id="0"/>
            <w:r>
              <w:rPr>
                <w:rFonts w:hint="eastAsia" w:ascii="宋体" w:hAnsi="宋体" w:cs="宋体"/>
                <w:kern w:val="0"/>
                <w:sz w:val="18"/>
                <w:szCs w:val="18"/>
              </w:rPr>
              <w:t>满意</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满意度高</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3C53F8"/>
    <w:rsid w:val="31721A4C"/>
    <w:rsid w:val="340D3FED"/>
    <w:rsid w:val="47881287"/>
    <w:rsid w:val="6F331D64"/>
    <w:rsid w:val="724E5AED"/>
    <w:rsid w:val="7DB763EB"/>
    <w:rsid w:val="7EDB2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2021-05-24T02:30:42Z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86D71FAD52C74F8D8B24CA1DBA5D98CB</vt:lpwstr>
  </property>
</Properties>
</file>