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8名遗属补贴</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2020年绩效评价推进工作，加强我区项目支出绩效管理，提高财政资金使用效益和公共服务质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为切实保障好困难群众基本生活，实现绩效评价工作，保障我区居民最低生活保障标准。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通过城乡居民最低生活保障标准，使我区退休人员去世后遗属生活得到最低生活保障标准。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2020年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2020年度遗属补贴，全年发放人数8人，每人每月733元，共发放61572元（其中两人补贴减半）</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2020年度遗属补贴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我区工资福利制度更加完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按照财政支出绩效评价指标体系评分标准，遗属补贴使用情况良好，无超范围使用或其他不当情形，共计</w:t>
      </w:r>
      <w:r>
        <w:rPr>
          <w:rFonts w:hint="eastAsia" w:ascii="仿宋_GB2312" w:eastAsia="仿宋_GB2312"/>
          <w:sz w:val="32"/>
          <w:szCs w:val="32"/>
          <w:lang w:val="en-US" w:eastAsia="zh-CN"/>
        </w:rPr>
        <w:t>96.9</w:t>
      </w:r>
      <w:r>
        <w:rPr>
          <w:rFonts w:hint="eastAsia" w:ascii="仿宋_GB2312" w:eastAsia="仿宋_GB2312"/>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2020年度遗属补贴专项资金项目立项依据充分、程序合规、项目资金使用计划可行、审批手续齐全。在制定2020年度遗属补贴专项资金预算时，明确了遗属发放工作思路、发展目标和工作任务等。得分</w:t>
      </w:r>
      <w:r>
        <w:rPr>
          <w:rFonts w:hint="eastAsia" w:ascii="仿宋_GB2312" w:eastAsia="仿宋_GB2312"/>
          <w:sz w:val="32"/>
          <w:szCs w:val="32"/>
          <w:lang w:val="en-US" w:eastAsia="zh-CN"/>
        </w:rPr>
        <w:t>8.9</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48</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通过项目实施，遗属得到生活上的提高，项目经济效益、社会效益显著，遗属满意度90%以上。项目效果指标分值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widowControl/>
        <w:ind w:firstLine="640" w:firstLineChars="200"/>
        <w:jc w:val="both"/>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8名遗属补贴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劳资科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bookmarkStart w:id="0" w:name="_GoBack"/>
            <w:bookmarkEnd w:id="0"/>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按标准发放</w:t>
            </w:r>
            <w:r>
              <w:rPr>
                <w:rFonts w:hint="eastAsia" w:ascii="宋体" w:hAnsi="宋体" w:cs="宋体"/>
                <w:kern w:val="0"/>
                <w:sz w:val="18"/>
                <w:szCs w:val="18"/>
                <w:lang w:val="en-US" w:eastAsia="zh-CN"/>
              </w:rPr>
              <w:t>2020年遗属补贴</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2020年底按发放规定完成了遗属补贴的发放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rPr>
              <w:t>遗嘱人员数量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方正仿宋_GBK" w:hAnsi="宋体" w:eastAsia="方正仿宋_GBK" w:cs="宋体"/>
                <w:color w:val="000000"/>
                <w:kern w:val="0"/>
                <w:sz w:val="20"/>
                <w:szCs w:val="20"/>
              </w:rPr>
              <w:t>补贴金额</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70000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61572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保护合法权益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公共服务水平提升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稳步提升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96.9</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358E"/>
    <w:rsid w:val="0ACE1668"/>
    <w:rsid w:val="0C181575"/>
    <w:rsid w:val="13B5037E"/>
    <w:rsid w:val="1B0147ED"/>
    <w:rsid w:val="1D3C22B4"/>
    <w:rsid w:val="1FC64F75"/>
    <w:rsid w:val="208D755F"/>
    <w:rsid w:val="26382476"/>
    <w:rsid w:val="31721A4C"/>
    <w:rsid w:val="33574DD5"/>
    <w:rsid w:val="38673ABD"/>
    <w:rsid w:val="39A13759"/>
    <w:rsid w:val="457E4DEE"/>
    <w:rsid w:val="46165AFC"/>
    <w:rsid w:val="47881287"/>
    <w:rsid w:val="47E35FDE"/>
    <w:rsid w:val="498B6568"/>
    <w:rsid w:val="4E4E54D1"/>
    <w:rsid w:val="4F4233EB"/>
    <w:rsid w:val="54661890"/>
    <w:rsid w:val="5A6A1FB7"/>
    <w:rsid w:val="5AA548AE"/>
    <w:rsid w:val="5ADD5BD2"/>
    <w:rsid w:val="5EFC1320"/>
    <w:rsid w:val="608F7E20"/>
    <w:rsid w:val="62355D3A"/>
    <w:rsid w:val="64427913"/>
    <w:rsid w:val="67335C5E"/>
    <w:rsid w:val="6A3651E3"/>
    <w:rsid w:val="724E5AED"/>
    <w:rsid w:val="76075BE8"/>
    <w:rsid w:val="78DE299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2021-03-18T01:45:57Z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018B93BFC9274A99B975DAFF7012E4D3</vt:lpwstr>
  </property>
</Properties>
</file>