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通讯员稿费</w:t>
      </w:r>
      <w:r>
        <w:rPr>
          <w:rFonts w:hint="eastAsia" w:ascii="Arial" w:hAnsi="Arial" w:cs="Arial"/>
          <w:b/>
          <w:bCs/>
          <w:color w:val="333333"/>
          <w:sz w:val="44"/>
          <w:szCs w:val="44"/>
        </w:rPr>
        <w:t>项目支出绩效评价报告</w:t>
      </w:r>
    </w:p>
    <w:p>
      <w:pPr>
        <w:numPr>
          <w:ilvl w:val="0"/>
          <w:numId w:val="0"/>
        </w:numPr>
        <w:spacing w:line="580" w:lineRule="exact"/>
        <w:ind w:firstLine="640" w:firstLineChars="200"/>
        <w:rPr>
          <w:rFonts w:hint="eastAsia" w:eastAsia="方正仿宋_GBK"/>
          <w:sz w:val="32"/>
          <w:szCs w:val="32"/>
        </w:rPr>
      </w:pPr>
      <w:r>
        <w:rPr>
          <w:rFonts w:hint="eastAsia" w:eastAsia="方正仿宋_GBK"/>
          <w:sz w:val="32"/>
          <w:szCs w:val="32"/>
          <w:lang w:eastAsia="zh-CN"/>
        </w:rPr>
        <w:t>一、</w:t>
      </w:r>
      <w:r>
        <w:rPr>
          <w:rFonts w:hint="eastAsia" w:eastAsia="方正仿宋_GBK"/>
          <w:sz w:val="32"/>
          <w:szCs w:val="32"/>
        </w:rPr>
        <w:t>基本情况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（一）项目概况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根据《中华人民共和国预算法》、《中共唐山市委唐山市人民政府关于全面实施预算绩效管理的实施意见》等有关规定，结合我委实际，我委成立评价小组并安排专门人员负责20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lang w:eastAsia="zh-CN"/>
        </w:rPr>
        <w:t>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（二）项目绩效目标</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通过鼓励通讯员多投稿、投好稿，满足宣传需求，以起到达到宣传效果，促进旅游岛发展的作用。</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二、绩效评价工作开展情况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（一）绩效评价目的</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本部门为实现绩效评价工作，我委成立评价小组并安排专门人员负责20</w:t>
      </w:r>
      <w:r>
        <w:rPr>
          <w:rFonts w:hint="eastAsia" w:ascii="仿宋" w:hAnsi="仿宋" w:eastAsia="仿宋" w:cs="仿宋"/>
          <w:sz w:val="32"/>
          <w:szCs w:val="32"/>
          <w:lang w:val="en-US" w:eastAsia="zh-CN"/>
        </w:rPr>
        <w:t>20</w:t>
      </w:r>
      <w:r>
        <w:rPr>
          <w:rFonts w:hint="eastAsia" w:ascii="仿宋" w:hAnsi="仿宋" w:eastAsia="仿宋" w:cs="仿宋"/>
          <w:sz w:val="32"/>
          <w:szCs w:val="32"/>
          <w:lang w:eastAsia="zh-CN"/>
        </w:rPr>
        <w:t>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唐山国际旅游岛管理委员会机关党委传媒中心负责征集通讯员稿件，择优在《唐山国际旅游岛报》、政务网站刊发，并支付相应稿费。为提高通讯员积极性，稿费标准为新闻类每篇</w:t>
      </w:r>
      <w:r>
        <w:rPr>
          <w:rFonts w:hint="eastAsia" w:ascii="仿宋" w:hAnsi="仿宋" w:eastAsia="仿宋" w:cs="仿宋"/>
          <w:sz w:val="32"/>
          <w:szCs w:val="32"/>
          <w:lang w:val="en-US" w:eastAsia="zh-CN"/>
        </w:rPr>
        <w:t>50元，散文、诗歌等文学作品每篇60元。2020年全年采用稿件129篇，稿费计6300元</w:t>
      </w:r>
      <w:r>
        <w:rPr>
          <w:rFonts w:hint="eastAsia" w:ascii="仿宋" w:hAnsi="仿宋" w:eastAsia="仿宋" w:cs="仿宋"/>
          <w:sz w:val="32"/>
          <w:szCs w:val="32"/>
          <w:lang w:eastAsia="zh-CN"/>
        </w:rPr>
        <w:t>。项目产出完成情况良好，效益发挥显著，有利于加强宣传力度，丰富报纸、网站内容。</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按照财政支出绩效评价指标体系评分标准，印刷经费使用情况良好，无超范围使用或其他不当情形，共计</w:t>
      </w:r>
      <w:r>
        <w:rPr>
          <w:rFonts w:hint="eastAsia" w:ascii="仿宋" w:hAnsi="仿宋" w:eastAsia="仿宋" w:cs="仿宋"/>
          <w:sz w:val="32"/>
          <w:szCs w:val="32"/>
          <w:lang w:val="en-US" w:eastAsia="zh-CN"/>
        </w:rPr>
        <w:t>99</w:t>
      </w:r>
      <w:r>
        <w:rPr>
          <w:rFonts w:hint="eastAsia" w:ascii="仿宋" w:hAnsi="仿宋" w:eastAsia="仿宋" w:cs="仿宋"/>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通讯员稿费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通讯员稿费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bookmarkStart w:id="0" w:name="_GoBack"/>
      <w:bookmarkEnd w:id="0"/>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0.7</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0.7</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89.71%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每半年为通讯员结算一次稿费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稿费按时足额下发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稿件数量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110-120篇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稿件质量达到要求</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质量达标</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投稿及时</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及时准确</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稿费</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0.7万</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达到宣传效果，</w:t>
            </w:r>
            <w:r>
              <w:rPr>
                <w:rFonts w:hint="eastAsia" w:ascii="宋体" w:hAnsi="宋体" w:cs="宋体"/>
                <w:color w:val="000000"/>
                <w:kern w:val="0"/>
                <w:sz w:val="18"/>
                <w:szCs w:val="18"/>
              </w:rPr>
              <w:t>促进旅游岛发展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鼓励通讯员积极投稿</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保证用稿要求</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保证用稿要求</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kern w:val="0"/>
                <w:sz w:val="18"/>
                <w:szCs w:val="18"/>
                <w:lang w:eastAsia="zh-CN"/>
              </w:rPr>
              <w:t>激励通讯员，保证稿源</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保证稿源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保证稿源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稿费及时发放</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通讯员稿费及时发放到位</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及时发放到位</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126D3CCC"/>
    <w:rsid w:val="138930C5"/>
    <w:rsid w:val="153C53F8"/>
    <w:rsid w:val="160E3405"/>
    <w:rsid w:val="1DF06159"/>
    <w:rsid w:val="2D1F35CD"/>
    <w:rsid w:val="31721A4C"/>
    <w:rsid w:val="40B92222"/>
    <w:rsid w:val="42C5251A"/>
    <w:rsid w:val="47881287"/>
    <w:rsid w:val="4A257B8B"/>
    <w:rsid w:val="53201A34"/>
    <w:rsid w:val="55445BDD"/>
    <w:rsid w:val="5A397C5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2021-03-18T02:44:34Z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