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b/>
          <w:bCs/>
          <w:i w:val="0"/>
          <w:caps w:val="0"/>
          <w:color w:val="333333"/>
          <w:spacing w:val="0"/>
          <w:sz w:val="40"/>
          <w:szCs w:val="40"/>
          <w:lang w:eastAsia="zh-CN"/>
        </w:rPr>
      </w:pPr>
      <w:r>
        <w:rPr>
          <w:rFonts w:hint="eastAsia" w:ascii="方正小标宋简体" w:hAnsi="方正小标宋简体" w:eastAsia="方正小标宋简体" w:cs="方正小标宋简体"/>
          <w:b/>
          <w:bCs/>
          <w:i w:val="0"/>
          <w:caps w:val="0"/>
          <w:color w:val="333333"/>
          <w:spacing w:val="0"/>
          <w:sz w:val="40"/>
          <w:szCs w:val="40"/>
          <w:lang w:val="en-US" w:eastAsia="zh-CN"/>
        </w:rPr>
        <w:t>创业中心纳税奖励资金</w:t>
      </w:r>
      <w:r>
        <w:rPr>
          <w:rFonts w:hint="eastAsia" w:ascii="方正小标宋简体" w:hAnsi="方正小标宋简体" w:eastAsia="方正小标宋简体" w:cs="方正小标宋简体"/>
          <w:b/>
          <w:bCs/>
          <w:i w:val="0"/>
          <w:caps w:val="0"/>
          <w:color w:val="333333"/>
          <w:spacing w:val="0"/>
          <w:sz w:val="40"/>
          <w:szCs w:val="40"/>
          <w:lang w:eastAsia="zh-CN"/>
        </w:rPr>
        <w:t>项目支出</w:t>
      </w:r>
    </w:p>
    <w:p>
      <w:pPr>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b/>
          <w:bCs/>
          <w:i w:val="0"/>
          <w:caps w:val="0"/>
          <w:color w:val="333333"/>
          <w:spacing w:val="0"/>
          <w:sz w:val="40"/>
          <w:szCs w:val="40"/>
          <w:lang w:eastAsia="zh-CN"/>
        </w:rPr>
      </w:pPr>
      <w:bookmarkStart w:id="0" w:name="_GoBack"/>
      <w:bookmarkEnd w:id="0"/>
      <w:r>
        <w:rPr>
          <w:rFonts w:hint="eastAsia" w:ascii="方正小标宋简体" w:hAnsi="方正小标宋简体" w:eastAsia="方正小标宋简体" w:cs="方正小标宋简体"/>
          <w:b/>
          <w:bCs/>
          <w:i w:val="0"/>
          <w:caps w:val="0"/>
          <w:color w:val="333333"/>
          <w:spacing w:val="0"/>
          <w:sz w:val="40"/>
          <w:szCs w:val="40"/>
          <w:lang w:eastAsia="zh-CN"/>
        </w:rPr>
        <w:t>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基本情况</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eastAsia="zh-CN"/>
        </w:rPr>
      </w:pPr>
      <w:r>
        <w:rPr>
          <w:rFonts w:hint="eastAsia" w:ascii="方正楷体简体" w:hAnsi="方正楷体简体" w:eastAsia="方正楷体简体" w:cs="方正楷体简体"/>
          <w:i w:val="0"/>
          <w:caps w:val="0"/>
          <w:color w:val="333333"/>
          <w:spacing w:val="0"/>
          <w:sz w:val="32"/>
          <w:szCs w:val="32"/>
          <w:lang w:eastAsia="zh-CN"/>
        </w:rPr>
        <w:t>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根据《中华人民共和国预算法》</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《中共唐山市委唐山市人民政府关于全面实施预算绩效管理的实施意见》等有关规定，结合我局实际</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2020</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我区</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绩效评价工作，扶持企业做优做强，进一步推动优化营商环境，提高服务水平。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（二）项目绩效目标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方正仿宋简体" w:hAnsi="方正仿宋简体" w:eastAsia="方正仿宋简体" w:cs="方正仿宋简体"/>
          <w:sz w:val="32"/>
          <w:szCs w:val="32"/>
          <w:lang w:val="en-US" w:eastAsia="zh-CN"/>
        </w:rPr>
      </w:pPr>
      <w:r>
        <w:rPr>
          <w:rFonts w:hint="eastAsia" w:ascii="仿宋" w:hAnsi="仿宋" w:eastAsia="仿宋" w:cs="仿宋"/>
          <w:sz w:val="32"/>
          <w:szCs w:val="32"/>
          <w:lang w:val="en-US" w:eastAsia="zh-CN"/>
        </w:rPr>
        <w:t xml:space="preserve"> 通</w:t>
      </w:r>
      <w:r>
        <w:rPr>
          <w:rFonts w:hint="eastAsia" w:ascii="方正仿宋简体" w:hAnsi="方正仿宋简体" w:eastAsia="方正仿宋简体" w:cs="方正仿宋简体"/>
          <w:sz w:val="32"/>
          <w:szCs w:val="32"/>
          <w:lang w:val="en-US" w:eastAsia="zh-CN"/>
        </w:rPr>
        <w:t>过支付符合条件纳税企业奖励资金，扶持创新创业中心入驻企业做优做强，提高营商环境水平。</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二、绩效评价工作开展情况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（一）绩效评价目的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（二）绩效评价工作过程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按要求将评价结果公开，加强绩效评价运行监控，发现问题及时采取措施，确保绩效目标如期保质实现。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按要求开展部门项目支出绩效自评和重点评价工作，对评价中发现的问题及时整改，调整优化支出结构，提高财政资金使用效益。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三、综合评价情况及评价结论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唐山国际旅游岛招商合作局作为项目实施单位，管理创新创业中心工作的正常开展，推动我区创新创业工作高效的运行，提升我区对外窗口形象。2020年完成对达标企业税收奖励资76.42万拨付，扶持创新创业中心入驻企业做优做强，激发市场发展活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2020</w:t>
      </w:r>
      <w:r>
        <w:rPr>
          <w:rFonts w:hint="default" w:ascii="方正仿宋简体" w:hAnsi="方正仿宋简体" w:eastAsia="方正仿宋简体" w:cs="方正仿宋简体"/>
          <w:sz w:val="32"/>
          <w:szCs w:val="32"/>
          <w:lang w:val="en-US" w:eastAsia="zh-CN"/>
        </w:rPr>
        <w:t>年度</w:t>
      </w:r>
      <w:r>
        <w:rPr>
          <w:rFonts w:hint="eastAsia" w:ascii="方正仿宋简体" w:hAnsi="方正仿宋简体" w:eastAsia="方正仿宋简体" w:cs="方正仿宋简体"/>
          <w:sz w:val="32"/>
          <w:szCs w:val="32"/>
          <w:lang w:val="en-US" w:eastAsia="zh-CN"/>
        </w:rPr>
        <w:t>创业中心纳税奖励资金项目</w:t>
      </w:r>
      <w:r>
        <w:rPr>
          <w:rFonts w:hint="default" w:ascii="方正仿宋简体" w:hAnsi="方正仿宋简体" w:eastAsia="方正仿宋简体" w:cs="方正仿宋简体"/>
          <w:sz w:val="32"/>
          <w:szCs w:val="32"/>
          <w:lang w:val="en-US" w:eastAsia="zh-CN"/>
        </w:rPr>
        <w:t>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default" w:ascii="方正仿宋简体" w:hAnsi="方正仿宋简体" w:eastAsia="方正仿宋简体" w:cs="方正仿宋简体"/>
          <w:sz w:val="32"/>
          <w:szCs w:val="32"/>
          <w:lang w:val="en-US" w:eastAsia="zh-CN"/>
        </w:rPr>
      </w:pPr>
      <w:r>
        <w:rPr>
          <w:rFonts w:hint="default" w:ascii="方正仿宋简体" w:hAnsi="方正仿宋简体" w:eastAsia="方正仿宋简体" w:cs="方正仿宋简体"/>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按照财政支出绩效评价指标体系评分标准，设备维修费使用情况良好，无超范围使用或其他不当情形，共计99分，拟自评等级为优。</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 xml:space="preserve">四、绩效评价指标分析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（一）项目决策情况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eastAsia" w:ascii="方正仿宋简体" w:hAnsi="方正仿宋简体" w:eastAsia="方正仿宋简体" w:cs="方正仿宋简体"/>
          <w:sz w:val="32"/>
          <w:szCs w:val="32"/>
          <w:lang w:val="en-US" w:eastAsia="zh-CN"/>
        </w:rPr>
        <w:t>2020</w:t>
      </w:r>
      <w:r>
        <w:rPr>
          <w:rFonts w:hint="default" w:ascii="方正仿宋简体" w:hAnsi="方正仿宋简体" w:eastAsia="方正仿宋简体" w:cs="方正仿宋简体"/>
          <w:sz w:val="32"/>
          <w:szCs w:val="32"/>
          <w:lang w:val="en-US" w:eastAsia="zh-CN"/>
        </w:rPr>
        <w:t>年</w:t>
      </w:r>
      <w:r>
        <w:rPr>
          <w:rFonts w:hint="eastAsia" w:ascii="方正仿宋简体" w:hAnsi="方正仿宋简体" w:eastAsia="方正仿宋简体" w:cs="方正仿宋简体"/>
          <w:sz w:val="32"/>
          <w:szCs w:val="32"/>
          <w:lang w:val="en-US" w:eastAsia="zh-CN"/>
        </w:rPr>
        <w:t>创新创业纳税企业奖励资金专项</w:t>
      </w:r>
      <w:r>
        <w:rPr>
          <w:rFonts w:hint="default" w:ascii="方正仿宋简体" w:hAnsi="方正仿宋简体" w:eastAsia="方正仿宋简体" w:cs="方正仿宋简体"/>
          <w:sz w:val="32"/>
          <w:szCs w:val="32"/>
          <w:lang w:val="en-US" w:eastAsia="zh-CN"/>
        </w:rPr>
        <w:t>立项依据充分、程序合规、项目资金使用计划可行、审批手续齐全。</w:t>
      </w:r>
      <w:r>
        <w:rPr>
          <w:rFonts w:hint="eastAsia" w:ascii="方正仿宋简体" w:hAnsi="方正仿宋简体" w:eastAsia="方正仿宋简体" w:cs="方正仿宋简体"/>
          <w:sz w:val="32"/>
          <w:szCs w:val="32"/>
          <w:lang w:val="en-US" w:eastAsia="zh-CN"/>
        </w:rPr>
        <w:t>我局</w:t>
      </w:r>
      <w:r>
        <w:rPr>
          <w:rFonts w:hint="default" w:ascii="方正仿宋简体" w:hAnsi="方正仿宋简体" w:eastAsia="方正仿宋简体" w:cs="方正仿宋简体"/>
          <w:sz w:val="32"/>
          <w:szCs w:val="32"/>
          <w:lang w:val="en-US" w:eastAsia="zh-CN"/>
        </w:rPr>
        <w:t>在制定</w:t>
      </w:r>
      <w:r>
        <w:rPr>
          <w:rFonts w:hint="eastAsia" w:ascii="方正仿宋简体" w:hAnsi="方正仿宋简体" w:eastAsia="方正仿宋简体" w:cs="方正仿宋简体"/>
          <w:sz w:val="32"/>
          <w:szCs w:val="32"/>
          <w:lang w:val="en-US" w:eastAsia="zh-CN"/>
        </w:rPr>
        <w:t>创新创业中心税企业奖励资金专项</w:t>
      </w:r>
      <w:r>
        <w:rPr>
          <w:rFonts w:hint="default" w:ascii="方正仿宋简体" w:hAnsi="方正仿宋简体" w:eastAsia="方正仿宋简体" w:cs="方正仿宋简体"/>
          <w:sz w:val="32"/>
          <w:szCs w:val="32"/>
          <w:lang w:val="en-US" w:eastAsia="zh-CN"/>
        </w:rPr>
        <w:t>资金预算时，明确了工作思路和工作任务等。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default"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（二）项目产出情况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项目产出指标实际完成情况基本达到了预期设定的目标值，产出指标的完成情况较好项目产出指标分值</w:t>
      </w:r>
      <w:r>
        <w:rPr>
          <w:rFonts w:hint="eastAsia" w:ascii="仿宋" w:hAnsi="仿宋" w:eastAsia="仿宋" w:cs="仿宋"/>
          <w:sz w:val="32"/>
          <w:szCs w:val="32"/>
          <w:lang w:val="en-US" w:eastAsia="zh-CN"/>
        </w:rPr>
        <w:t>50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49</w:t>
      </w:r>
      <w:r>
        <w:rPr>
          <w:rFonts w:hint="default" w:ascii="仿宋" w:hAnsi="仿宋" w:eastAsia="仿宋" w:cs="仿宋"/>
          <w:sz w:val="32"/>
          <w:szCs w:val="32"/>
          <w:lang w:val="en-US" w:eastAsia="zh-CN"/>
        </w:rPr>
        <w:t>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项目效益情况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通过项目实施，</w:t>
      </w:r>
      <w:r>
        <w:rPr>
          <w:rFonts w:hint="eastAsia" w:ascii="仿宋" w:hAnsi="仿宋" w:eastAsia="仿宋" w:cs="仿宋"/>
          <w:sz w:val="32"/>
          <w:szCs w:val="32"/>
          <w:lang w:val="en-US" w:eastAsia="zh-CN"/>
        </w:rPr>
        <w:t>群众满意度进一步提高，营商环境水平进一步提升。</w:t>
      </w:r>
      <w:r>
        <w:rPr>
          <w:rFonts w:hint="default" w:ascii="仿宋" w:hAnsi="仿宋" w:eastAsia="仿宋" w:cs="仿宋"/>
          <w:sz w:val="32"/>
          <w:szCs w:val="32"/>
          <w:lang w:val="en-US" w:eastAsia="zh-CN"/>
        </w:rPr>
        <w:t>项目效果指标分值</w:t>
      </w:r>
      <w:r>
        <w:rPr>
          <w:rFonts w:hint="eastAsia" w:ascii="仿宋" w:hAnsi="仿宋" w:eastAsia="仿宋" w:cs="仿宋"/>
          <w:sz w:val="32"/>
          <w:szCs w:val="32"/>
          <w:lang w:val="en-US" w:eastAsia="zh-CN"/>
        </w:rPr>
        <w:t>40</w:t>
      </w:r>
      <w:r>
        <w:rPr>
          <w:rFonts w:hint="default" w:ascii="仿宋" w:hAnsi="仿宋" w:eastAsia="仿宋" w:cs="仿宋"/>
          <w:sz w:val="32"/>
          <w:szCs w:val="32"/>
          <w:lang w:val="en-US" w:eastAsia="zh-CN"/>
        </w:rPr>
        <w:t>分，实际得分</w:t>
      </w:r>
      <w:r>
        <w:rPr>
          <w:rFonts w:hint="eastAsia" w:ascii="仿宋" w:hAnsi="仿宋" w:eastAsia="仿宋" w:cs="仿宋"/>
          <w:sz w:val="32"/>
          <w:szCs w:val="32"/>
          <w:lang w:val="en-US" w:eastAsia="zh-CN"/>
        </w:rPr>
        <w:t>40</w:t>
      </w:r>
      <w:r>
        <w:rPr>
          <w:rFonts w:hint="default" w:ascii="仿宋" w:hAnsi="仿宋" w:eastAsia="仿宋" w:cs="仿宋"/>
          <w:sz w:val="32"/>
          <w:szCs w:val="32"/>
          <w:lang w:val="en-US" w:eastAsia="zh-CN"/>
        </w:rPr>
        <w:t>分。</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五、主要经验及做法、存在的问题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eastAsia" w:ascii="方正楷体简体" w:hAnsi="方正楷体简体" w:eastAsia="方正楷体简体" w:cs="方正楷体简体"/>
          <w:i w:val="0"/>
          <w:caps w:val="0"/>
          <w:color w:val="333333"/>
          <w:spacing w:val="0"/>
          <w:sz w:val="32"/>
          <w:szCs w:val="32"/>
          <w:lang w:val="en-US" w:eastAsia="zh-CN"/>
        </w:rPr>
      </w:pPr>
      <w:r>
        <w:rPr>
          <w:rFonts w:hint="eastAsia" w:ascii="方正楷体简体" w:hAnsi="方正楷体简体" w:eastAsia="方正楷体简体" w:cs="方正楷体简体"/>
          <w:i w:val="0"/>
          <w:caps w:val="0"/>
          <w:color w:val="333333"/>
          <w:spacing w:val="0"/>
          <w:sz w:val="32"/>
          <w:szCs w:val="32"/>
          <w:lang w:val="en-US" w:eastAsia="zh-CN"/>
        </w:rPr>
        <w:t>（一）</w:t>
      </w:r>
      <w:r>
        <w:rPr>
          <w:rFonts w:hint="default" w:ascii="方正楷体简体" w:hAnsi="方正楷体简体" w:eastAsia="方正楷体简体" w:cs="方正楷体简体"/>
          <w:i w:val="0"/>
          <w:caps w:val="0"/>
          <w:color w:val="333333"/>
          <w:spacing w:val="0"/>
          <w:sz w:val="32"/>
          <w:szCs w:val="32"/>
          <w:lang w:val="en-US" w:eastAsia="zh-CN"/>
        </w:rPr>
        <w:t>主要经验及做法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default" w:ascii="方正仿宋简体" w:hAnsi="方正仿宋简体" w:eastAsia="方正仿宋简体" w:cs="方正仿宋简体"/>
          <w:sz w:val="32"/>
          <w:szCs w:val="32"/>
          <w:lang w:val="en-US" w:eastAsia="zh-CN"/>
        </w:rPr>
      </w:pPr>
      <w:r>
        <w:rPr>
          <w:rFonts w:hint="default"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lang w:val="en-US" w:eastAsia="zh-CN"/>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2、周密部署，精简节约。在落实各项费用之前，认真排产相关设备设施问题，针对问题安排资金维护维修。能有效的提高办公效率，还力求勤俭节约、合理利用现有资金。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0" w:lineRule="exact"/>
        <w:ind w:left="0" w:leftChars="0" w:right="0" w:rightChars="0"/>
        <w:jc w:val="both"/>
        <w:textAlignment w:val="auto"/>
        <w:outlineLvl w:val="9"/>
        <w:rPr>
          <w:rFonts w:hint="default" w:ascii="方正楷体简体" w:hAnsi="方正楷体简体" w:eastAsia="方正楷体简体" w:cs="方正楷体简体"/>
          <w:i w:val="0"/>
          <w:caps w:val="0"/>
          <w:color w:val="333333"/>
          <w:spacing w:val="0"/>
          <w:sz w:val="32"/>
          <w:szCs w:val="32"/>
          <w:lang w:val="en-US" w:eastAsia="zh-CN"/>
        </w:rPr>
      </w:pPr>
      <w:r>
        <w:rPr>
          <w:rFonts w:hint="default" w:ascii="方正楷体简体" w:hAnsi="方正楷体简体" w:eastAsia="方正楷体简体" w:cs="方正楷体简体"/>
          <w:i w:val="0"/>
          <w:caps w:val="0"/>
          <w:color w:val="333333"/>
          <w:spacing w:val="0"/>
          <w:sz w:val="32"/>
          <w:szCs w:val="32"/>
          <w:lang w:val="en-US" w:eastAsia="zh-CN"/>
        </w:rPr>
        <w:t>（二）存在的问题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left="0" w:leftChars="0" w:right="0" w:rightChars="0" w:firstLine="640" w:firstLineChars="200"/>
        <w:jc w:val="lef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专项资金管理水平有待提高，绩效目标</w:t>
      </w:r>
      <w:r>
        <w:rPr>
          <w:rFonts w:hint="default" w:ascii="方正仿宋简体" w:hAnsi="方正仿宋简体" w:eastAsia="方正仿宋简体" w:cs="方正仿宋简体"/>
          <w:sz w:val="32"/>
          <w:szCs w:val="32"/>
          <w:lang w:val="en-US" w:eastAsia="zh-CN"/>
        </w:rPr>
        <w:t>的完成与预期的略有偏离</w:t>
      </w:r>
      <w:r>
        <w:rPr>
          <w:rFonts w:hint="eastAsia" w:ascii="方正仿宋简体" w:hAnsi="方正仿宋简体" w:eastAsia="方正仿宋简体" w:cs="方正仿宋简体"/>
          <w:sz w:val="32"/>
          <w:szCs w:val="32"/>
          <w:lang w:val="en-US" w:eastAsia="zh-CN"/>
        </w:rPr>
        <w:t>。项目绩效管理制度不够完善。</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六、建议</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firstLine="640" w:firstLineChars="200"/>
        <w:textAlignment w:val="auto"/>
        <w:outlineLvl w:val="9"/>
        <w:rPr>
          <w:rFonts w:hint="default" w:ascii="仿宋_GB2312" w:hAnsi="å®‹ä½“" w:eastAsia="仿宋_GB2312" w:cs="仿宋_GB2312"/>
          <w:i w:val="0"/>
          <w:caps w:val="0"/>
          <w:color w:val="000000"/>
          <w:spacing w:val="0"/>
          <w:kern w:val="0"/>
          <w:sz w:val="32"/>
          <w:szCs w:val="32"/>
          <w:shd w:val="clear" w:color="auto" w:fill="FFFFFF"/>
          <w:lang w:val="en-US" w:eastAsia="zh-CN" w:bidi="ar"/>
        </w:rPr>
      </w:pPr>
      <w:r>
        <w:rPr>
          <w:rFonts w:hint="default" w:ascii="方正仿宋简体" w:hAnsi="方正仿宋简体" w:eastAsia="方正仿宋简体" w:cs="方正仿宋简体"/>
          <w:sz w:val="32"/>
          <w:szCs w:val="32"/>
          <w:lang w:val="en-US" w:eastAsia="zh-CN"/>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w:t>
      </w:r>
      <w:r>
        <w:rPr>
          <w:rFonts w:hint="default" w:ascii="仿宋_GB2312" w:hAnsi="å®‹ä½“" w:eastAsia="仿宋_GB2312" w:cs="仿宋_GB2312"/>
          <w:i w:val="0"/>
          <w:caps w:val="0"/>
          <w:color w:val="000000"/>
          <w:spacing w:val="0"/>
          <w:kern w:val="0"/>
          <w:sz w:val="32"/>
          <w:szCs w:val="32"/>
          <w:shd w:val="clear" w:color="auto" w:fill="FFFFFF"/>
          <w:lang w:val="en-US" w:eastAsia="zh-CN" w:bidi="ar"/>
        </w:rPr>
        <w:t>性。续而不断提高财政资金配置和使用效益，使项目绩效目标得到更好实现。</w:t>
      </w:r>
    </w:p>
    <w:p>
      <w:pPr>
        <w:keepNext w:val="0"/>
        <w:keepLines w:val="0"/>
        <w:pageBreakBefore w:val="0"/>
        <w:numPr>
          <w:ilvl w:val="0"/>
          <w:numId w:val="0"/>
        </w:numPr>
        <w:kinsoku/>
        <w:wordWrap/>
        <w:overflowPunct/>
        <w:topLinePunct w:val="0"/>
        <w:autoSpaceDE/>
        <w:autoSpaceDN/>
        <w:bidi w:val="0"/>
        <w:adjustRightInd/>
        <w:snapToGrid/>
        <w:spacing w:line="570" w:lineRule="exact"/>
        <w:ind w:left="0" w:leftChars="0" w:right="0" w:rightChars="0"/>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七、其他需要说明的问题</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70" w:lineRule="exact"/>
        <w:ind w:right="0" w:rightChars="0" w:firstLine="640" w:firstLineChars="200"/>
        <w:jc w:val="left"/>
        <w:textAlignment w:val="auto"/>
        <w:outlineLvl w:val="9"/>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无</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0" w:beforeAutospacing="0" w:after="0" w:afterAutospacing="0" w:line="560" w:lineRule="atLeast"/>
        <w:ind w:right="0" w:firstLine="640" w:firstLineChars="200"/>
        <w:jc w:val="left"/>
        <w:rPr>
          <w:rFonts w:hint="default" w:ascii="仿宋_GB2312" w:hAnsi="å®‹ä½“" w:eastAsia="仿宋_GB2312" w:cs="仿宋_GB2312"/>
          <w:i w:val="0"/>
          <w:caps w:val="0"/>
          <w:color w:val="000000"/>
          <w:spacing w:val="0"/>
          <w:kern w:val="0"/>
          <w:sz w:val="32"/>
          <w:szCs w:val="32"/>
          <w:shd w:val="clear" w:color="auto"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0" w:beforeAutospacing="0" w:after="0" w:afterAutospacing="0" w:line="560" w:lineRule="atLeast"/>
        <w:ind w:right="0" w:firstLine="640" w:firstLineChars="200"/>
        <w:jc w:val="left"/>
        <w:rPr>
          <w:rFonts w:hint="default" w:ascii="仿宋_GB2312" w:hAnsi="å®‹ä½“" w:eastAsia="仿宋_GB2312" w:cs="仿宋_GB2312"/>
          <w:i w:val="0"/>
          <w:caps w:val="0"/>
          <w:color w:val="000000"/>
          <w:spacing w:val="0"/>
          <w:kern w:val="0"/>
          <w:sz w:val="32"/>
          <w:szCs w:val="32"/>
          <w:shd w:val="clear" w:color="auto"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0" w:beforeAutospacing="0" w:after="0" w:afterAutospacing="0" w:line="560" w:lineRule="atLeast"/>
        <w:ind w:right="0"/>
        <w:jc w:val="left"/>
        <w:rPr>
          <w:rFonts w:hint="default" w:ascii="仿宋_GB2312" w:hAnsi="å®‹ä½“" w:eastAsia="仿宋_GB2312" w:cs="仿宋_GB2312"/>
          <w:i w:val="0"/>
          <w:caps w:val="0"/>
          <w:color w:val="000000"/>
          <w:spacing w:val="0"/>
          <w:kern w:val="0"/>
          <w:sz w:val="32"/>
          <w:szCs w:val="32"/>
          <w:shd w:val="clear" w:color="auto" w:fill="FFFFFF"/>
          <w:lang w:val="en-US" w:eastAsia="zh-CN" w:bidi="ar"/>
        </w:rPr>
      </w:pP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2"/>
        <w:tblW w:w="10069" w:type="dxa"/>
        <w:jc w:val="center"/>
        <w:tblLayout w:type="fixed"/>
        <w:tblCellMar>
          <w:top w:w="0" w:type="dxa"/>
          <w:left w:w="108" w:type="dxa"/>
          <w:bottom w:w="0" w:type="dxa"/>
          <w:right w:w="108" w:type="dxa"/>
        </w:tblCellMar>
      </w:tblPr>
      <w:tblGrid>
        <w:gridCol w:w="588"/>
        <w:gridCol w:w="980"/>
        <w:gridCol w:w="1112"/>
        <w:gridCol w:w="730"/>
        <w:gridCol w:w="910"/>
        <w:gridCol w:w="638"/>
        <w:gridCol w:w="1552"/>
        <w:gridCol w:w="1100"/>
        <w:gridCol w:w="123"/>
        <w:gridCol w:w="480"/>
        <w:gridCol w:w="647"/>
        <w:gridCol w:w="88"/>
        <w:gridCol w:w="1121"/>
      </w:tblGrid>
      <w:tr>
        <w:tblPrEx>
          <w:tblCellMar>
            <w:top w:w="0" w:type="dxa"/>
            <w:left w:w="108" w:type="dxa"/>
            <w:bottom w:w="0" w:type="dxa"/>
            <w:right w:w="108" w:type="dxa"/>
          </w:tblCellMar>
        </w:tblPrEx>
        <w:trPr>
          <w:trHeight w:val="454" w:hRule="exact"/>
          <w:jc w:val="center"/>
        </w:trPr>
        <w:tc>
          <w:tcPr>
            <w:tcW w:w="10069" w:type="dxa"/>
            <w:gridSpan w:val="13"/>
            <w:tcBorders>
              <w:top w:val="nil"/>
              <w:left w:val="nil"/>
              <w:bottom w:val="nil"/>
              <w:right w:val="nil"/>
            </w:tcBorders>
            <w:vAlign w:val="center"/>
          </w:tcPr>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290" w:hRule="atLeast"/>
          <w:jc w:val="center"/>
        </w:trPr>
        <w:tc>
          <w:tcPr>
            <w:tcW w:w="10069" w:type="dxa"/>
            <w:gridSpan w:val="13"/>
            <w:tcBorders>
              <w:top w:val="nil"/>
              <w:left w:val="nil"/>
              <w:bottom w:val="nil"/>
              <w:right w:val="nil"/>
            </w:tcBorders>
            <w:vAlign w:val="top"/>
          </w:tcPr>
          <w:p>
            <w:pPr>
              <w:widowControl/>
              <w:jc w:val="center"/>
              <w:rPr>
                <w:rFonts w:ascii="宋体" w:hAnsi="宋体" w:cs="宋体"/>
                <w:color w:val="auto"/>
                <w:kern w:val="0"/>
                <w:sz w:val="22"/>
                <w:szCs w:val="22"/>
              </w:rPr>
            </w:pPr>
            <w:r>
              <w:rPr>
                <w:rFonts w:hint="eastAsia" w:ascii="宋体" w:hAnsi="宋体" w:cs="宋体"/>
                <w:color w:val="auto"/>
                <w:kern w:val="0"/>
                <w:sz w:val="22"/>
                <w:szCs w:val="22"/>
              </w:rPr>
              <w:t xml:space="preserve">（ </w:t>
            </w:r>
            <w:r>
              <w:rPr>
                <w:rFonts w:hint="eastAsia" w:ascii="宋体" w:hAnsi="宋体" w:cs="宋体"/>
                <w:color w:val="auto"/>
                <w:kern w:val="0"/>
                <w:sz w:val="22"/>
                <w:szCs w:val="22"/>
                <w:lang w:val="en-US" w:eastAsia="zh-CN"/>
              </w:rPr>
              <w:t>2020</w:t>
            </w:r>
            <w:r>
              <w:rPr>
                <w:rFonts w:hint="eastAsia" w:ascii="宋体" w:hAnsi="宋体" w:cs="宋体"/>
                <w:color w:val="auto"/>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850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创业中心纳税奖励资金</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9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招商合作局</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3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创新创业中心</w:t>
            </w:r>
          </w:p>
        </w:tc>
      </w:tr>
      <w:tr>
        <w:tblPrEx>
          <w:tblCellMar>
            <w:top w:w="0" w:type="dxa"/>
            <w:left w:w="108" w:type="dxa"/>
            <w:bottom w:w="0" w:type="dxa"/>
            <w:right w:w="108" w:type="dxa"/>
          </w:tblCellMar>
        </w:tblPrEx>
        <w:trPr>
          <w:trHeight w:val="4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6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76.423</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76.423</w:t>
            </w: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3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76.423</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21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9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521"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9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21"/>
                <w:szCs w:val="21"/>
              </w:rPr>
            </w:pPr>
            <w:r>
              <w:rPr>
                <w:rFonts w:hint="eastAsia" w:ascii="宋体" w:hAnsi="宋体" w:cs="宋体"/>
                <w:color w:val="auto"/>
                <w:kern w:val="0"/>
                <w:sz w:val="18"/>
                <w:szCs w:val="18"/>
                <w:lang w:eastAsia="zh-CN"/>
              </w:rPr>
              <w:t>完成对达标企业税收奖励资金拨付，进一步加大财政扶持力度，扶持创新创业中心入驻企业做优做强，激发市场发展活力。</w:t>
            </w:r>
          </w:p>
        </w:tc>
        <w:tc>
          <w:tcPr>
            <w:tcW w:w="3559"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21"/>
                <w:szCs w:val="21"/>
                <w:lang w:val="en-US" w:eastAsia="zh-CN"/>
              </w:rPr>
            </w:pPr>
            <w:r>
              <w:rPr>
                <w:rFonts w:hint="eastAsia" w:ascii="宋体" w:hAnsi="宋体" w:cs="宋体"/>
                <w:color w:val="auto"/>
                <w:kern w:val="0"/>
                <w:sz w:val="18"/>
                <w:szCs w:val="18"/>
                <w:lang w:eastAsia="zh-CN"/>
              </w:rPr>
              <w:t>完成对达标企业税收奖励资金76.42万拨付，扶持创新创业中心入驻企业做优做强，激发市场发展活力。创业中心奖励资金已经</w:t>
            </w:r>
            <w:r>
              <w:rPr>
                <w:rFonts w:hint="eastAsia" w:ascii="宋体" w:hAnsi="宋体" w:cs="宋体"/>
                <w:color w:val="auto"/>
                <w:kern w:val="0"/>
                <w:sz w:val="18"/>
                <w:szCs w:val="18"/>
                <w:lang w:val="en-US" w:eastAsia="zh-CN"/>
              </w:rPr>
              <w:t>于</w:t>
            </w:r>
            <w:r>
              <w:rPr>
                <w:rFonts w:hint="eastAsia" w:ascii="宋体" w:hAnsi="宋体" w:cs="宋体"/>
                <w:color w:val="auto"/>
                <w:kern w:val="0"/>
                <w:sz w:val="18"/>
                <w:szCs w:val="18"/>
                <w:lang w:eastAsia="zh-CN"/>
              </w:rPr>
              <w:t>5月份拨付完成，剩余资金今年不再使用，申请调减23.577万元。</w:t>
            </w:r>
          </w:p>
        </w:tc>
      </w:tr>
      <w:tr>
        <w:tblPrEx>
          <w:tblCellMar>
            <w:top w:w="0" w:type="dxa"/>
            <w:left w:w="108" w:type="dxa"/>
            <w:bottom w:w="0" w:type="dxa"/>
            <w:right w:w="108" w:type="dxa"/>
          </w:tblCellMar>
        </w:tblPrEx>
        <w:trPr>
          <w:trHeight w:val="68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72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对符合扶持政策的创新创业中心企业择优扶强。</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3家</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3家</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落实政策，依规拨付。</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政策落实，依规拨付。</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政策落实，依规拨付。</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27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20"/>
                <w:szCs w:val="20"/>
                <w:lang w:bidi="ar"/>
              </w:rPr>
              <w:t>完成时间</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2020年底</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2020年底</w:t>
            </w:r>
          </w:p>
        </w:tc>
        <w:tc>
          <w:tcPr>
            <w:tcW w:w="6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3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27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创业中心纳税企业奖励资金</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76.42</w:t>
            </w:r>
          </w:p>
        </w:tc>
        <w:tc>
          <w:tcPr>
            <w:tcW w:w="6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2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按照年底企业实际情况，申请</w:t>
            </w:r>
            <w:r>
              <w:rPr>
                <w:rFonts w:hint="eastAsia" w:ascii="宋体" w:hAnsi="宋体" w:cs="宋体"/>
                <w:color w:val="auto"/>
                <w:kern w:val="0"/>
                <w:sz w:val="18"/>
                <w:szCs w:val="18"/>
                <w:lang w:val="en-US" w:eastAsia="zh-CN"/>
              </w:rPr>
              <w:t>调</w:t>
            </w:r>
            <w:r>
              <w:rPr>
                <w:rFonts w:hint="eastAsia" w:ascii="宋体" w:hAnsi="宋体" w:cs="宋体"/>
                <w:color w:val="auto"/>
                <w:kern w:val="0"/>
                <w:sz w:val="18"/>
                <w:szCs w:val="18"/>
                <w:lang w:eastAsia="zh-CN"/>
              </w:rPr>
              <w:t>减23.577万。元。</w:t>
            </w:r>
          </w:p>
        </w:tc>
      </w:tr>
      <w:tr>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帮扶企业发展</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激励企业发展，提高竞争力。</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激励企业发展，提高竞争力。</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09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：良好的营商环境</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发挥政府资金的导向和激励作用，进一步优化营商环境。</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发挥政府资金的导向，营商环境有所提升。</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3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引进企业为无污染企业</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100%</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100%</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财政增收</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激发市场发展活力，实现财政增收。</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财政增收</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27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群众满意度</w:t>
            </w:r>
          </w:p>
        </w:tc>
        <w:tc>
          <w:tcPr>
            <w:tcW w:w="155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sz w:val="20"/>
                <w:szCs w:val="20"/>
              </w:rPr>
              <w:t>≥90%</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sz w:val="20"/>
                <w:szCs w:val="20"/>
              </w:rPr>
              <w:t>≥90%</w:t>
            </w: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92" w:hRule="exact"/>
          <w:jc w:val="center"/>
        </w:trPr>
        <w:tc>
          <w:tcPr>
            <w:tcW w:w="761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p>
            <w:pPr>
              <w:widowControl/>
              <w:spacing w:line="240" w:lineRule="exact"/>
              <w:jc w:val="center"/>
              <w:rPr>
                <w:rFonts w:ascii="宋体" w:hAnsi="宋体" w:cs="宋体"/>
                <w:color w:val="auto"/>
                <w:kern w:val="0"/>
                <w:sz w:val="18"/>
                <w:szCs w:val="18"/>
              </w:rPr>
            </w:pPr>
          </w:p>
        </w:tc>
        <w:tc>
          <w:tcPr>
            <w:tcW w:w="60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100</w:t>
            </w:r>
          </w:p>
        </w:tc>
        <w:tc>
          <w:tcPr>
            <w:tcW w:w="64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2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02F617"/>
    <w:multiLevelType w:val="singleLevel"/>
    <w:tmpl w:val="3102F617"/>
    <w:lvl w:ilvl="0" w:tentative="0">
      <w:start w:val="1"/>
      <w:numFmt w:val="chineseCounting"/>
      <w:suff w:val="nothing"/>
      <w:lvlText w:val="（%1）"/>
      <w:lvlJc w:val="left"/>
      <w:rPr>
        <w:rFonts w:hint="eastAsia"/>
      </w:rPr>
    </w:lvl>
  </w:abstractNum>
  <w:abstractNum w:abstractNumId="1">
    <w:nsid w:val="3269676A"/>
    <w:multiLevelType w:val="singleLevel"/>
    <w:tmpl w:val="3269676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F735F"/>
    <w:rsid w:val="01082E02"/>
    <w:rsid w:val="03250B99"/>
    <w:rsid w:val="03A47536"/>
    <w:rsid w:val="05297246"/>
    <w:rsid w:val="05BF3422"/>
    <w:rsid w:val="05E61CAA"/>
    <w:rsid w:val="06B30C52"/>
    <w:rsid w:val="090A5356"/>
    <w:rsid w:val="099C6B1C"/>
    <w:rsid w:val="0A2E01F0"/>
    <w:rsid w:val="0B2C520F"/>
    <w:rsid w:val="0C67360C"/>
    <w:rsid w:val="117B071A"/>
    <w:rsid w:val="12C254E2"/>
    <w:rsid w:val="162F2A1A"/>
    <w:rsid w:val="16B8558F"/>
    <w:rsid w:val="1AEC4CDA"/>
    <w:rsid w:val="1D353CAD"/>
    <w:rsid w:val="1E633FDD"/>
    <w:rsid w:val="1F440242"/>
    <w:rsid w:val="23C60329"/>
    <w:rsid w:val="271A3D0B"/>
    <w:rsid w:val="29F04698"/>
    <w:rsid w:val="2A1C7C39"/>
    <w:rsid w:val="2AA54116"/>
    <w:rsid w:val="2BD55A52"/>
    <w:rsid w:val="2D57456E"/>
    <w:rsid w:val="2DF159AF"/>
    <w:rsid w:val="30134825"/>
    <w:rsid w:val="31721A4C"/>
    <w:rsid w:val="32DF2A20"/>
    <w:rsid w:val="337F3225"/>
    <w:rsid w:val="343368F5"/>
    <w:rsid w:val="34E71116"/>
    <w:rsid w:val="35537CAD"/>
    <w:rsid w:val="361E71C2"/>
    <w:rsid w:val="3772740C"/>
    <w:rsid w:val="39C63C46"/>
    <w:rsid w:val="3C7C47DA"/>
    <w:rsid w:val="3D6E4D08"/>
    <w:rsid w:val="3DF034B7"/>
    <w:rsid w:val="414A2FE1"/>
    <w:rsid w:val="430A33FC"/>
    <w:rsid w:val="46860051"/>
    <w:rsid w:val="47881287"/>
    <w:rsid w:val="482E391F"/>
    <w:rsid w:val="487D4A6D"/>
    <w:rsid w:val="48A542A1"/>
    <w:rsid w:val="496F6B38"/>
    <w:rsid w:val="4AFA7EE7"/>
    <w:rsid w:val="5287524C"/>
    <w:rsid w:val="539B37FC"/>
    <w:rsid w:val="53EB344F"/>
    <w:rsid w:val="547A4794"/>
    <w:rsid w:val="5A477883"/>
    <w:rsid w:val="5C2C4046"/>
    <w:rsid w:val="5C702AEA"/>
    <w:rsid w:val="5EF36F93"/>
    <w:rsid w:val="63E16088"/>
    <w:rsid w:val="66774080"/>
    <w:rsid w:val="670F3AC3"/>
    <w:rsid w:val="67E4377E"/>
    <w:rsid w:val="681B1668"/>
    <w:rsid w:val="686D3311"/>
    <w:rsid w:val="69692738"/>
    <w:rsid w:val="6B4C7497"/>
    <w:rsid w:val="6CE7189D"/>
    <w:rsid w:val="724E5AED"/>
    <w:rsid w:val="73785517"/>
    <w:rsid w:val="76DC3C26"/>
    <w:rsid w:val="771D0606"/>
    <w:rsid w:val="786462B7"/>
    <w:rsid w:val="791C1121"/>
    <w:rsid w:val="791C7B6F"/>
    <w:rsid w:val="7A6E0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2021-05-25T04:04:29Z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697097459_btnclosed</vt:lpwstr>
  </property>
  <property fmtid="{D5CDD505-2E9C-101B-9397-08002B2CF9AE}" pid="4" name="ICV">
    <vt:lpwstr>E2C1B002B37E45E8857E3D73685B28D5</vt:lpwstr>
  </property>
</Properties>
</file>