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b w:val="0"/>
          <w:bCs w:val="0"/>
          <w:color w:val="auto"/>
          <w:sz w:val="40"/>
          <w:szCs w:val="40"/>
          <w:lang w:eastAsia="zh-CN"/>
        </w:rPr>
      </w:pPr>
      <w:r>
        <w:rPr>
          <w:rFonts w:hint="eastAsia" w:ascii="方正小标宋简体" w:hAnsi="方正小标宋简体" w:eastAsia="方正小标宋简体" w:cs="方正小标宋简体"/>
          <w:b w:val="0"/>
          <w:bCs w:val="0"/>
          <w:color w:val="auto"/>
          <w:sz w:val="40"/>
          <w:szCs w:val="40"/>
          <w:lang w:eastAsia="zh-CN"/>
        </w:rPr>
        <w:t>社会信用体系建设宣传费项目支出</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b w:val="0"/>
          <w:bCs w:val="0"/>
          <w:color w:val="auto"/>
          <w:sz w:val="40"/>
          <w:szCs w:val="40"/>
          <w:lang w:eastAsia="zh-CN"/>
        </w:rPr>
      </w:pPr>
      <w:r>
        <w:rPr>
          <w:rFonts w:hint="eastAsia" w:ascii="方正小标宋简体" w:hAnsi="方正小标宋简体" w:eastAsia="方正小标宋简体" w:cs="方正小标宋简体"/>
          <w:b w:val="0"/>
          <w:bCs w:val="0"/>
          <w:color w:val="auto"/>
          <w:sz w:val="40"/>
          <w:szCs w:val="40"/>
          <w:lang w:eastAsia="zh-CN"/>
        </w:rPr>
        <w:t>绩效评价报告</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仿宋_GB2312" w:eastAsia="仿宋_GB2312"/>
          <w:b/>
          <w:bCs/>
          <w:color w:val="auto"/>
          <w:sz w:val="40"/>
          <w:szCs w:val="40"/>
          <w:lang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一、基本情况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（一）项目概况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根据《中华人民共和国预算法》、《中共唐山市委唐山市人民政府关于全面实施预算绩效管理的实施意见》等有关规定，结合我局实际，我局成立评价小组并安排专门人员负责20</w:t>
      </w:r>
      <w:r>
        <w:rPr>
          <w:rFonts w:hint="eastAsia" w:ascii="方正仿宋简体" w:hAnsi="方正仿宋简体" w:eastAsia="方正仿宋简体" w:cs="方正仿宋简体"/>
          <w:color w:val="auto"/>
          <w:sz w:val="32"/>
          <w:szCs w:val="32"/>
          <w:lang w:val="en-US" w:eastAsia="zh-CN"/>
        </w:rPr>
        <w:t>20</w:t>
      </w:r>
      <w:r>
        <w:rPr>
          <w:rFonts w:hint="eastAsia" w:ascii="方正仿宋简体" w:hAnsi="方正仿宋简体" w:eastAsia="方正仿宋简体" w:cs="方正仿宋简体"/>
          <w:color w:val="auto"/>
          <w:sz w:val="32"/>
          <w:szCs w:val="32"/>
        </w:rPr>
        <w:t>年绩效评价推进工作，加强我</w:t>
      </w:r>
      <w:r>
        <w:rPr>
          <w:rFonts w:hint="eastAsia" w:ascii="方正仿宋简体" w:hAnsi="方正仿宋简体" w:eastAsia="方正仿宋简体" w:cs="方正仿宋简体"/>
          <w:color w:val="auto"/>
          <w:sz w:val="32"/>
          <w:szCs w:val="32"/>
          <w:lang w:val="en-US" w:eastAsia="zh-CN"/>
        </w:rPr>
        <w:t>局</w:t>
      </w:r>
      <w:r>
        <w:rPr>
          <w:rFonts w:hint="eastAsia" w:ascii="方正仿宋简体" w:hAnsi="方正仿宋简体" w:eastAsia="方正仿宋简体" w:cs="方正仿宋简体"/>
          <w:color w:val="auto"/>
          <w:sz w:val="32"/>
          <w:szCs w:val="32"/>
        </w:rPr>
        <w:t>项目支出绩效管理，提高财政资金使用效益和公共服务质量。</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为实现绩效评价工作，</w:t>
      </w:r>
      <w:r>
        <w:rPr>
          <w:rFonts w:hint="eastAsia" w:ascii="方正仿宋简体" w:hAnsi="方正仿宋简体" w:eastAsia="方正仿宋简体" w:cs="方正仿宋简体"/>
          <w:color w:val="auto"/>
          <w:sz w:val="32"/>
          <w:szCs w:val="32"/>
          <w:lang w:eastAsia="zh-CN"/>
        </w:rPr>
        <w:t>提高</w:t>
      </w:r>
      <w:r>
        <w:rPr>
          <w:rFonts w:hint="eastAsia" w:ascii="方正仿宋简体" w:hAnsi="方正仿宋简体" w:eastAsia="方正仿宋简体" w:cs="方正仿宋简体"/>
          <w:color w:val="auto"/>
          <w:sz w:val="32"/>
          <w:szCs w:val="32"/>
        </w:rPr>
        <w:t>唐山国际旅游岛</w:t>
      </w:r>
      <w:r>
        <w:rPr>
          <w:rFonts w:hint="eastAsia" w:ascii="方正仿宋简体" w:hAnsi="方正仿宋简体" w:eastAsia="方正仿宋简体" w:cs="方正仿宋简体"/>
          <w:color w:val="auto"/>
          <w:sz w:val="32"/>
          <w:szCs w:val="32"/>
          <w:lang w:eastAsia="zh-CN"/>
        </w:rPr>
        <w:t>社会信用体系建设领导小组办公室</w:t>
      </w:r>
      <w:r>
        <w:rPr>
          <w:rFonts w:hint="eastAsia" w:ascii="方正仿宋简体" w:hAnsi="方正仿宋简体" w:eastAsia="方正仿宋简体" w:cs="方正仿宋简体"/>
          <w:color w:val="auto"/>
          <w:sz w:val="32"/>
          <w:szCs w:val="32"/>
        </w:rPr>
        <w:t>工作效率，打造不敢失信、不能失信、不愿失信的社会环境，形成全社会诚实守信、重信守诺的良好风尚。</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仿宋简体" w:hAnsi="方正仿宋简体" w:eastAsia="方正仿宋简体" w:cs="方正仿宋简体"/>
          <w:color w:val="auto"/>
          <w:sz w:val="32"/>
          <w:szCs w:val="32"/>
          <w:lang w:val="en-US" w:eastAsia="zh-CN"/>
        </w:rPr>
      </w:pPr>
      <w:r>
        <w:rPr>
          <w:rFonts w:hint="eastAsia" w:ascii="仿宋_GB2312" w:eastAsia="仿宋_GB2312"/>
          <w:color w:val="auto"/>
          <w:sz w:val="32"/>
          <w:szCs w:val="32"/>
          <w:lang w:val="en-US" w:eastAsia="zh-CN"/>
        </w:rPr>
        <w:t xml:space="preserve">    </w:t>
      </w:r>
      <w:r>
        <w:rPr>
          <w:rFonts w:hint="eastAsia" w:ascii="方正仿宋简体" w:hAnsi="方正仿宋简体" w:eastAsia="方正仿宋简体" w:cs="方正仿宋简体"/>
          <w:color w:val="auto"/>
          <w:sz w:val="32"/>
          <w:szCs w:val="32"/>
          <w:lang w:val="en-US" w:eastAsia="zh-CN"/>
        </w:rPr>
        <w:t>通过社会信用体系建设相关宣传物资的采购，在辖区内广泛开展信用宣传活动，使社会各界了解了诚信的重要性，全民的道德水准和文明素质得到提高，有效的营造了“守信者处处受益，失信者处处受限”的社会信用环境，取得了良好的宣传效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（一）绩效评价目的</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为加强我局</w:t>
      </w:r>
      <w:bookmarkStart w:id="0" w:name="_GoBack"/>
      <w:bookmarkEnd w:id="0"/>
      <w:r>
        <w:rPr>
          <w:rFonts w:hint="eastAsia" w:ascii="方正仿宋简体" w:hAnsi="方正仿宋简体" w:eastAsia="方正仿宋简体" w:cs="方正仿宋简体"/>
          <w:color w:val="auto"/>
          <w:sz w:val="32"/>
          <w:szCs w:val="32"/>
          <w:lang w:val="en-US" w:eastAsia="zh-CN"/>
        </w:rPr>
        <w:t>项目支出绩效管理，提高财政资金使用效益和公共服务质量，本部门制定绩效自评制度办法或操作细则，具体组织实施本部门的绩效自评工作，加强绩效自评结果应用，并对自评结果的真实性、合法性、完整性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color w:val="auto"/>
          <w:sz w:val="32"/>
          <w:szCs w:val="32"/>
        </w:rPr>
      </w:pPr>
      <w:r>
        <w:rPr>
          <w:rFonts w:hint="eastAsia" w:ascii="方正楷体简体" w:hAnsi="方正楷体简体" w:eastAsia="方正楷体简体" w:cs="方正楷体简体"/>
          <w:color w:val="auto"/>
          <w:sz w:val="32"/>
          <w:szCs w:val="32"/>
        </w:rPr>
        <w:t>（</w:t>
      </w:r>
      <w:r>
        <w:rPr>
          <w:rFonts w:hint="eastAsia" w:ascii="方正楷体简体" w:hAnsi="方正楷体简体" w:eastAsia="方正楷体简体" w:cs="方正楷体简体"/>
          <w:color w:val="auto"/>
          <w:sz w:val="32"/>
          <w:szCs w:val="32"/>
          <w:lang w:eastAsia="zh-CN"/>
        </w:rPr>
        <w:t>二</w:t>
      </w:r>
      <w:r>
        <w:rPr>
          <w:rFonts w:hint="eastAsia" w:ascii="方正楷体简体" w:hAnsi="方正楷体简体" w:eastAsia="方正楷体简体" w:cs="方正楷体简体"/>
          <w:color w:val="auto"/>
          <w:sz w:val="32"/>
          <w:szCs w:val="32"/>
        </w:rPr>
        <w:t>）绩效评价工作过程</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本部门为实现绩效评价工作，我局成立评价小组并安排专门人员负责2020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按要求将评价结果公开，加强绩效评价运行监控，发现问题及时采取措施，确保绩效目标如期保质实现。</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按要求开展部门项目支出绩效自评和重点评价工作，对评价中发现的问题及时整改，调整优化支出结构，提高财政资金使用效益。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olor w:val="auto"/>
          <w:sz w:val="32"/>
          <w:szCs w:val="32"/>
        </w:rPr>
      </w:pPr>
      <w:r>
        <w:rPr>
          <w:rFonts w:hint="eastAsia" w:ascii="方正黑体简体" w:hAnsi="方正黑体简体" w:eastAsia="方正黑体简体" w:cs="方正黑体简体"/>
          <w:color w:val="auto"/>
          <w:sz w:val="32"/>
          <w:szCs w:val="32"/>
        </w:rPr>
        <w:t>综合评价情况及评价结论</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唐山国际旅游岛招商合作局作为项目实施单位，管理我区社会信用体系建设工作的正常开展，推进营造“守信者处处受益，失信者处处受限”的社会信用环境，有力的保障了社会信用体系建设工作的有序开展。</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2020年度社会信用体系建设宣传费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按照财政支出绩效评价指标体系评分标准，社会信用体系建设宣传费使用情况良好，无超范围使用或其他不当情形，共计99分，拟自评等级为优。</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四、绩效评价指标分析</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（一）项目决策情况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2020年度设备采购费项目立项依据充分、程序合规、项目资金使用计划可行、审批手续齐全。我局在制定2020年度社会信用体系建设宣传费资金预算时，明确了工作思路和工作任务等。</w:t>
      </w:r>
    </w:p>
    <w:p>
      <w:pPr>
        <w:keepNext w:val="0"/>
        <w:keepLines w:val="0"/>
        <w:pageBreakBefore w:val="0"/>
        <w:numPr>
          <w:numId w:val="0"/>
        </w:numPr>
        <w:kinsoku/>
        <w:wordWrap/>
        <w:overflowPunct/>
        <w:topLinePunct w:val="0"/>
        <w:autoSpaceDE/>
        <w:autoSpaceDN/>
        <w:bidi w:val="0"/>
        <w:adjustRightInd/>
        <w:snapToGrid/>
        <w:spacing w:line="570" w:lineRule="exact"/>
        <w:ind w:leftChars="200" w:firstLine="320" w:firstLineChars="100"/>
        <w:textAlignment w:val="auto"/>
        <w:rPr>
          <w:rFonts w:hint="default" w:ascii="方正仿宋简体" w:hAnsi="方正仿宋简体" w:eastAsia="方正仿宋简体" w:cs="方正仿宋简体"/>
          <w:color w:val="auto"/>
          <w:sz w:val="32"/>
          <w:szCs w:val="32"/>
          <w:lang w:val="en-US" w:eastAsia="zh-CN"/>
        </w:rPr>
      </w:pPr>
      <w:r>
        <w:rPr>
          <w:rFonts w:hint="eastAsia" w:ascii="方正楷体简体" w:hAnsi="方正楷体简体" w:eastAsia="方正楷体简体" w:cs="方正楷体简体"/>
          <w:color w:val="auto"/>
          <w:sz w:val="32"/>
          <w:szCs w:val="32"/>
          <w:lang w:val="en-US" w:eastAsia="zh-CN"/>
        </w:rPr>
        <w:t>（二）项目过程情况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通过3次社会信用体系宣传，提高群众及企业守信意识，营造和谐社会。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val="en-US" w:eastAsia="zh-CN"/>
        </w:rPr>
        <w:t>（</w:t>
      </w:r>
      <w:r>
        <w:rPr>
          <w:rFonts w:hint="eastAsia" w:ascii="方正楷体简体" w:hAnsi="方正楷体简体" w:eastAsia="方正楷体简体" w:cs="方正楷体简体"/>
          <w:color w:val="auto"/>
          <w:sz w:val="32"/>
          <w:szCs w:val="32"/>
          <w:lang w:val="en-US" w:eastAsia="zh-CN"/>
        </w:rPr>
        <w:t>三）项目产出情况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项目产出指标实际完成情况基本达到了预期设定的目标值，产出指标的完成情况较好项目产出指标分值50分，实际得分50分。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ascii="仿宋_GB2312" w:eastAsia="仿宋_GB2312"/>
          <w:color w:val="auto"/>
          <w:sz w:val="32"/>
          <w:szCs w:val="32"/>
        </w:rPr>
      </w:pPr>
      <w:r>
        <w:rPr>
          <w:rFonts w:hint="eastAsia" w:ascii="方正楷体简体" w:hAnsi="方正楷体简体" w:eastAsia="方正楷体简体" w:cs="方正楷体简体"/>
          <w:color w:val="auto"/>
          <w:sz w:val="32"/>
          <w:szCs w:val="32"/>
        </w:rPr>
        <w:t>（</w:t>
      </w:r>
      <w:r>
        <w:rPr>
          <w:rFonts w:hint="eastAsia" w:ascii="方正楷体简体" w:hAnsi="方正楷体简体" w:eastAsia="方正楷体简体" w:cs="方正楷体简体"/>
          <w:color w:val="auto"/>
          <w:sz w:val="32"/>
          <w:szCs w:val="32"/>
          <w:lang w:val="en-US" w:eastAsia="zh-CN"/>
        </w:rPr>
        <w:t>四</w:t>
      </w:r>
      <w:r>
        <w:rPr>
          <w:rFonts w:hint="eastAsia" w:ascii="方正楷体简体" w:hAnsi="方正楷体简体" w:eastAsia="方正楷体简体" w:cs="方正楷体简体"/>
          <w:color w:val="auto"/>
          <w:sz w:val="32"/>
          <w:szCs w:val="32"/>
        </w:rPr>
        <w:t>）项目效益情况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通过项目实施，群众及企业守信意识进一步提高，群众满意度进一步提升。项目效果指标分值30分，实际得分30分。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五、主要经验及做法及存在的问题</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lang w:val="en-US" w:eastAsia="zh-CN"/>
        </w:rPr>
      </w:pPr>
      <w:r>
        <w:rPr>
          <w:rFonts w:hint="eastAsia" w:ascii="方正楷体简体" w:hAnsi="方正楷体简体" w:eastAsia="方正楷体简体" w:cs="方正楷体简体"/>
          <w:color w:val="auto"/>
          <w:sz w:val="32"/>
          <w:szCs w:val="32"/>
          <w:lang w:val="en-US" w:eastAsia="zh-CN"/>
        </w:rPr>
        <w:t>（一）主要经验及做法</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2.周密部署，精简节约。在落实各项费用之前，认真按照省市要求进行物资采购，积极与上级部门对接，有效的提高工作效率，还力求勤俭节约、合理利用现有资金。</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lang w:val="en-US" w:eastAsia="zh-CN"/>
        </w:rPr>
      </w:pPr>
      <w:r>
        <w:rPr>
          <w:rFonts w:hint="eastAsia" w:ascii="方正楷体简体" w:hAnsi="方正楷体简体" w:eastAsia="方正楷体简体" w:cs="方正楷体简体"/>
          <w:color w:val="auto"/>
          <w:sz w:val="32"/>
          <w:szCs w:val="32"/>
          <w:lang w:val="en-US" w:eastAsia="zh-CN"/>
        </w:rPr>
        <w:t>（二）存在的问题</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专项资金管理水平有待提高，绩效目标的完成与预期的略有偏离。项目绩效管理制度不够完善。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六、有关建议</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i w:val="0"/>
          <w:caps w:val="0"/>
          <w:color w:val="auto"/>
          <w:spacing w:val="0"/>
          <w:kern w:val="0"/>
          <w:sz w:val="32"/>
          <w:szCs w:val="32"/>
          <w:shd w:val="clear" w:color="auto" w:fill="FFFFFF"/>
          <w:lang w:val="en-US" w:eastAsia="zh-CN" w:bidi="ar"/>
        </w:rPr>
      </w:pPr>
      <w:r>
        <w:rPr>
          <w:rFonts w:hint="eastAsia" w:ascii="方正仿宋简体" w:hAnsi="方正仿宋简体" w:eastAsia="方正仿宋简体" w:cs="方正仿宋简体"/>
          <w:i w:val="0"/>
          <w:caps w:val="0"/>
          <w:color w:val="auto"/>
          <w:spacing w:val="0"/>
          <w:kern w:val="0"/>
          <w:sz w:val="32"/>
          <w:szCs w:val="32"/>
          <w:shd w:val="clear" w:color="auto" w:fill="FFFFFF"/>
          <w:lang w:val="en-US" w:eastAsia="zh-CN"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宋体" w:cs="Times New Roman"/>
          <w:kern w:val="2"/>
          <w:sz w:val="21"/>
          <w:szCs w:val="24"/>
          <w:lang w:val="en-US" w:eastAsia="zh-CN" w:bidi="ar-SA"/>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ascii="方正仿宋简体" w:hAnsi="方正仿宋简体" w:eastAsia="方正仿宋简体" w:cs="方正仿宋简体"/>
          <w:i w:val="0"/>
          <w:caps w:val="0"/>
          <w:color w:val="auto"/>
          <w:spacing w:val="0"/>
          <w:kern w:val="0"/>
          <w:sz w:val="32"/>
          <w:szCs w:val="32"/>
          <w:shd w:val="clear" w:color="auto" w:fill="FFFFFF"/>
          <w:lang w:val="en-US" w:eastAsia="zh-CN" w:bidi="ar"/>
        </w:rPr>
        <w:t>无。</w:t>
      </w:r>
      <w:r>
        <w:rPr>
          <w:rFonts w:hint="eastAsia" w:cs="Times New Roman"/>
          <w:kern w:val="2"/>
          <w:sz w:val="21"/>
          <w:szCs w:val="24"/>
          <w:lang w:val="en-US" w:eastAsia="zh-CN" w:bidi="ar-SA"/>
        </w:rPr>
        <w:tab/>
      </w:r>
    </w:p>
    <w:p>
      <w:pPr>
        <w:widowControl/>
        <w:jc w:val="both"/>
        <w:rPr>
          <w:rFonts w:hint="eastAsia" w:ascii="黑体" w:hAnsi="黑体" w:eastAsia="黑体"/>
          <w:color w:val="auto"/>
          <w:sz w:val="32"/>
          <w:szCs w:val="32"/>
          <w:lang w:eastAsia="zh-CN"/>
        </w:rPr>
      </w:pPr>
      <w:r>
        <w:rPr>
          <w:rFonts w:hint="eastAsia" w:ascii="黑体" w:hAnsi="黑体" w:eastAsia="黑体"/>
          <w:color w:val="auto"/>
          <w:sz w:val="32"/>
          <w:szCs w:val="32"/>
        </w:rPr>
        <w:t>附件</w:t>
      </w:r>
      <w:r>
        <w:rPr>
          <w:rFonts w:hint="eastAsia" w:ascii="黑体" w:hAnsi="黑体" w:eastAsia="黑体"/>
          <w:color w:val="auto"/>
          <w:sz w:val="32"/>
          <w:szCs w:val="32"/>
          <w:lang w:eastAsia="zh-CN"/>
        </w:rPr>
        <w:t>：</w:t>
      </w:r>
    </w:p>
    <w:p>
      <w:pPr>
        <w:widowControl/>
        <w:jc w:val="center"/>
        <w:rPr>
          <w:rFonts w:hint="eastAsia" w:ascii="黑体" w:hAnsi="黑体" w:eastAsia="黑体"/>
          <w:b/>
          <w:bCs/>
          <w:color w:val="auto"/>
          <w:sz w:val="32"/>
          <w:szCs w:val="32"/>
        </w:rPr>
      </w:pPr>
      <w:r>
        <w:rPr>
          <w:rFonts w:hint="eastAsia" w:ascii="宋体" w:hAnsi="宋体" w:cs="宋体"/>
          <w:b/>
          <w:bCs/>
          <w:color w:val="auto"/>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772"/>
        <w:gridCol w:w="1320"/>
        <w:gridCol w:w="510"/>
        <w:gridCol w:w="825"/>
        <w:gridCol w:w="1530"/>
        <w:gridCol w:w="1140"/>
        <w:gridCol w:w="300"/>
        <w:gridCol w:w="660"/>
        <w:gridCol w:w="450"/>
        <w:gridCol w:w="390"/>
        <w:gridCol w:w="595"/>
      </w:tblGrid>
      <w:tr>
        <w:tblPrEx>
          <w:tblCellMar>
            <w:top w:w="0" w:type="dxa"/>
            <w:left w:w="108" w:type="dxa"/>
            <w:bottom w:w="0" w:type="dxa"/>
            <w:right w:w="108" w:type="dxa"/>
          </w:tblCellMar>
        </w:tblPrEx>
        <w:trPr>
          <w:trHeight w:val="370" w:hRule="exact"/>
          <w:jc w:val="center"/>
        </w:trPr>
        <w:tc>
          <w:tcPr>
            <w:tcW w:w="13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720"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社会信用体系建设宣传费</w:t>
            </w:r>
          </w:p>
        </w:tc>
      </w:tr>
      <w:tr>
        <w:tblPrEx>
          <w:tblCellMar>
            <w:top w:w="0" w:type="dxa"/>
            <w:left w:w="108" w:type="dxa"/>
            <w:bottom w:w="0" w:type="dxa"/>
            <w:right w:w="108" w:type="dxa"/>
          </w:tblCellMar>
        </w:tblPrEx>
        <w:trPr>
          <w:trHeight w:val="370" w:hRule="exact"/>
          <w:jc w:val="center"/>
        </w:trPr>
        <w:tc>
          <w:tcPr>
            <w:tcW w:w="13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18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9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唐山国际旅游岛招商合作局</w:t>
            </w:r>
          </w:p>
        </w:tc>
      </w:tr>
      <w:tr>
        <w:tblPrEx>
          <w:tblCellMar>
            <w:top w:w="0" w:type="dxa"/>
            <w:left w:w="108" w:type="dxa"/>
            <w:bottom w:w="0" w:type="dxa"/>
            <w:right w:w="108" w:type="dxa"/>
          </w:tblCellMar>
        </w:tblPrEx>
        <w:trPr>
          <w:trHeight w:val="515" w:hRule="exact"/>
          <w:jc w:val="center"/>
        </w:trPr>
        <w:tc>
          <w:tcPr>
            <w:tcW w:w="13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项目资金</w:t>
            </w:r>
            <w:r>
              <w:rPr>
                <w:rFonts w:hint="eastAsia" w:ascii="宋体" w:hAnsi="宋体" w:cs="宋体"/>
                <w:color w:val="auto"/>
                <w:kern w:val="0"/>
                <w:sz w:val="18"/>
                <w:szCs w:val="18"/>
              </w:rPr>
              <w:br w:type="textWrapping"/>
            </w:r>
            <w:r>
              <w:rPr>
                <w:rFonts w:hint="eastAsia" w:ascii="宋体" w:hAnsi="宋体" w:cs="宋体"/>
                <w:color w:val="auto"/>
                <w:kern w:val="0"/>
                <w:sz w:val="18"/>
                <w:szCs w:val="18"/>
              </w:rPr>
              <w:t>（万元）</w:t>
            </w:r>
          </w:p>
        </w:tc>
        <w:tc>
          <w:tcPr>
            <w:tcW w:w="18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年初预算数</w:t>
            </w:r>
          </w:p>
        </w:tc>
        <w:tc>
          <w:tcPr>
            <w:tcW w:w="1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全年执行数</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300" w:hRule="exact"/>
          <w:jc w:val="center"/>
        </w:trPr>
        <w:tc>
          <w:tcPr>
            <w:tcW w:w="13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53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4</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742</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94.84%</w:t>
            </w: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r>
      <w:tr>
        <w:tblPrEx>
          <w:tblCellMar>
            <w:top w:w="0" w:type="dxa"/>
            <w:left w:w="108" w:type="dxa"/>
            <w:bottom w:w="0" w:type="dxa"/>
            <w:right w:w="108" w:type="dxa"/>
          </w:tblCellMar>
        </w:tblPrEx>
        <w:trPr>
          <w:trHeight w:val="300" w:hRule="exact"/>
          <w:jc w:val="center"/>
        </w:trPr>
        <w:tc>
          <w:tcPr>
            <w:tcW w:w="13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4</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742</w:t>
            </w:r>
          </w:p>
        </w:tc>
        <w:tc>
          <w:tcPr>
            <w:tcW w:w="1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4</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742</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4</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742</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13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53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13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82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53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4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5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53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895"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5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营造“守信者处处受益，失信者处处受限”的社会信用环境，加快推进旅游岛社会信用体系建设。</w:t>
            </w:r>
          </w:p>
        </w:tc>
        <w:tc>
          <w:tcPr>
            <w:tcW w:w="353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营造“守信者处处受益，失信者处处受限”的社会信用环境，加快推进旅游岛社会信用体系建设。</w:t>
            </w:r>
          </w:p>
        </w:tc>
      </w:tr>
      <w:tr>
        <w:tblPrEx>
          <w:tblCellMar>
            <w:top w:w="0" w:type="dxa"/>
            <w:left w:w="108" w:type="dxa"/>
            <w:bottom w:w="0" w:type="dxa"/>
            <w:right w:w="108" w:type="dxa"/>
          </w:tblCellMar>
        </w:tblPrEx>
        <w:trPr>
          <w:trHeight w:val="77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7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32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3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4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6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9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产出指标</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50</w:t>
            </w:r>
            <w:r>
              <w:rPr>
                <w:rFonts w:hint="eastAsia" w:ascii="宋体" w:hAnsi="宋体" w:cs="宋体"/>
                <w:color w:val="auto"/>
                <w:kern w:val="0"/>
                <w:sz w:val="18"/>
                <w:szCs w:val="18"/>
                <w:lang w:eastAsia="zh-CN"/>
              </w:rPr>
              <w:t>）</w:t>
            </w:r>
          </w:p>
        </w:tc>
        <w:tc>
          <w:tcPr>
            <w:tcW w:w="1320"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13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社会信用体系建设宣传</w:t>
            </w:r>
          </w:p>
        </w:tc>
        <w:tc>
          <w:tcPr>
            <w:tcW w:w="1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2-3次</w:t>
            </w:r>
          </w:p>
        </w:tc>
        <w:tc>
          <w:tcPr>
            <w:tcW w:w="14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3次</w:t>
            </w:r>
          </w:p>
        </w:tc>
        <w:tc>
          <w:tcPr>
            <w:tcW w:w="66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9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0"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13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合格</w:t>
            </w:r>
          </w:p>
        </w:tc>
        <w:tc>
          <w:tcPr>
            <w:tcW w:w="1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合格率100%</w:t>
            </w:r>
          </w:p>
        </w:tc>
        <w:tc>
          <w:tcPr>
            <w:tcW w:w="14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合格率100%</w:t>
            </w:r>
          </w:p>
        </w:tc>
        <w:tc>
          <w:tcPr>
            <w:tcW w:w="66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9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6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13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完成时间</w:t>
            </w:r>
          </w:p>
        </w:tc>
        <w:tc>
          <w:tcPr>
            <w:tcW w:w="1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2020年底</w:t>
            </w:r>
          </w:p>
        </w:tc>
        <w:tc>
          <w:tcPr>
            <w:tcW w:w="14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2020年底</w:t>
            </w:r>
          </w:p>
        </w:tc>
        <w:tc>
          <w:tcPr>
            <w:tcW w:w="66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9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13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宣传成本</w:t>
            </w:r>
          </w:p>
        </w:tc>
        <w:tc>
          <w:tcPr>
            <w:tcW w:w="1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5万元</w:t>
            </w:r>
          </w:p>
        </w:tc>
        <w:tc>
          <w:tcPr>
            <w:tcW w:w="14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4</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742万元</w:t>
            </w:r>
          </w:p>
        </w:tc>
        <w:tc>
          <w:tcPr>
            <w:tcW w:w="66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9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56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效益指标</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30</w:t>
            </w:r>
            <w:r>
              <w:rPr>
                <w:rFonts w:hint="eastAsia" w:ascii="宋体" w:hAnsi="宋体" w:cs="宋体"/>
                <w:color w:val="auto"/>
                <w:kern w:val="0"/>
                <w:sz w:val="18"/>
                <w:szCs w:val="18"/>
                <w:lang w:eastAsia="zh-CN"/>
              </w:rPr>
              <w:t>）</w:t>
            </w:r>
          </w:p>
        </w:tc>
        <w:tc>
          <w:tcPr>
            <w:tcW w:w="132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3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旅游岛经济高质量发展</w:t>
            </w:r>
          </w:p>
        </w:tc>
        <w:tc>
          <w:tcPr>
            <w:tcW w:w="1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发展信用服务机构和信用服务市场，提高企业诚信意识，推动旅游岛经济发展。</w:t>
            </w:r>
          </w:p>
        </w:tc>
        <w:tc>
          <w:tcPr>
            <w:tcW w:w="14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发展信用服务机构和信用服务市场，提高企业诚信意识，推动旅游岛经济发展。</w:t>
            </w:r>
          </w:p>
        </w:tc>
        <w:tc>
          <w:tcPr>
            <w:tcW w:w="66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9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1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0"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3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诚信社会</w:t>
            </w:r>
          </w:p>
        </w:tc>
        <w:tc>
          <w:tcPr>
            <w:tcW w:w="1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加强信用宣传，提高群众及企业守信意识，营造和谐社会。</w:t>
            </w:r>
          </w:p>
        </w:tc>
        <w:tc>
          <w:tcPr>
            <w:tcW w:w="14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加强信用宣传，提高群众及企业守信意识，营造和谐社会。</w:t>
            </w:r>
          </w:p>
        </w:tc>
        <w:tc>
          <w:tcPr>
            <w:tcW w:w="6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9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75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0"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3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生态文明建设</w:t>
            </w:r>
          </w:p>
        </w:tc>
        <w:tc>
          <w:tcPr>
            <w:tcW w:w="1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营造诚信生态环境。</w:t>
            </w:r>
          </w:p>
        </w:tc>
        <w:tc>
          <w:tcPr>
            <w:tcW w:w="14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营造诚信生态环境。</w:t>
            </w:r>
          </w:p>
        </w:tc>
        <w:tc>
          <w:tcPr>
            <w:tcW w:w="66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9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2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20"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13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社会信用建设</w:t>
            </w:r>
          </w:p>
        </w:tc>
        <w:tc>
          <w:tcPr>
            <w:tcW w:w="1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提高公民诚信意识，打造文明和谐，安居乐业的生活环境。</w:t>
            </w:r>
          </w:p>
        </w:tc>
        <w:tc>
          <w:tcPr>
            <w:tcW w:w="14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提高公民诚信意识，打造文明和谐，安居乐业的生活环境。</w:t>
            </w:r>
          </w:p>
        </w:tc>
        <w:tc>
          <w:tcPr>
            <w:tcW w:w="66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9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6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2" w:type="dxa"/>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指标</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10</w:t>
            </w:r>
            <w:r>
              <w:rPr>
                <w:rFonts w:hint="eastAsia" w:ascii="宋体" w:hAnsi="宋体" w:cs="宋体"/>
                <w:color w:val="auto"/>
                <w:kern w:val="0"/>
                <w:sz w:val="18"/>
                <w:szCs w:val="18"/>
                <w:lang w:eastAsia="zh-CN"/>
              </w:rPr>
              <w:t>）</w:t>
            </w:r>
          </w:p>
        </w:tc>
        <w:tc>
          <w:tcPr>
            <w:tcW w:w="1320"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133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使用人满意</w:t>
            </w:r>
          </w:p>
        </w:tc>
        <w:tc>
          <w:tcPr>
            <w:tcW w:w="15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满意度100%</w:t>
            </w:r>
          </w:p>
        </w:tc>
        <w:tc>
          <w:tcPr>
            <w:tcW w:w="14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满意度100%</w:t>
            </w:r>
          </w:p>
        </w:tc>
        <w:tc>
          <w:tcPr>
            <w:tcW w:w="66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9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55" w:hRule="exact"/>
          <w:jc w:val="center"/>
        </w:trPr>
        <w:tc>
          <w:tcPr>
            <w:tcW w:w="6985"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6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w:t>
            </w:r>
          </w:p>
        </w:tc>
        <w:tc>
          <w:tcPr>
            <w:tcW w:w="9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rPr>
          <w:color w:val="auto"/>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D5FD1A"/>
    <w:multiLevelType w:val="singleLevel"/>
    <w:tmpl w:val="A2D5FD1A"/>
    <w:lvl w:ilvl="0" w:tentative="0">
      <w:start w:val="3"/>
      <w:numFmt w:val="chineseCounting"/>
      <w:suff w:val="nothing"/>
      <w:lvlText w:val="%1、"/>
      <w:lvlJc w:val="left"/>
      <w:rPr>
        <w:rFonts w:hint="eastAsia"/>
      </w:rPr>
    </w:lvl>
  </w:abstractNum>
  <w:abstractNum w:abstractNumId="1">
    <w:nsid w:val="72D9C87A"/>
    <w:multiLevelType w:val="singleLevel"/>
    <w:tmpl w:val="72D9C87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60E07"/>
    <w:rsid w:val="099D720D"/>
    <w:rsid w:val="0DE929C7"/>
    <w:rsid w:val="105E19A7"/>
    <w:rsid w:val="11A935EA"/>
    <w:rsid w:val="18BF5F96"/>
    <w:rsid w:val="19613CCF"/>
    <w:rsid w:val="2A0D4DAB"/>
    <w:rsid w:val="307D23C6"/>
    <w:rsid w:val="31721A4C"/>
    <w:rsid w:val="328A0C3E"/>
    <w:rsid w:val="36253EB4"/>
    <w:rsid w:val="397F2598"/>
    <w:rsid w:val="3AFA143F"/>
    <w:rsid w:val="3BCF4E5F"/>
    <w:rsid w:val="3CD4642F"/>
    <w:rsid w:val="3DB3759F"/>
    <w:rsid w:val="3DB70754"/>
    <w:rsid w:val="41E1325F"/>
    <w:rsid w:val="42CC1D63"/>
    <w:rsid w:val="47881287"/>
    <w:rsid w:val="4F724478"/>
    <w:rsid w:val="502C37EC"/>
    <w:rsid w:val="52956B5A"/>
    <w:rsid w:val="56EE293F"/>
    <w:rsid w:val="5B903BBB"/>
    <w:rsid w:val="5FC575BB"/>
    <w:rsid w:val="6CBE1D17"/>
    <w:rsid w:val="6E0F2E27"/>
    <w:rsid w:val="724E5AED"/>
    <w:rsid w:val="73B403BC"/>
    <w:rsid w:val="77271434"/>
    <w:rsid w:val="7B223B60"/>
    <w:rsid w:val="7D5679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吐泡泡</cp:lastModifiedBy>
  <dcterms:modified xsi:type="dcterms:W3CDTF">2021-03-09T02:10:41Z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697097459_btnclosed</vt:lpwstr>
  </property>
</Properties>
</file>