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EC" w:rsidRDefault="009A586C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762FEC" w:rsidRDefault="00762FEC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762FEC" w:rsidRDefault="009A586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2020年我局租办公用房预算14.48万元，实际支出</w:t>
      </w:r>
      <w:r w:rsidR="005E4118">
        <w:rPr>
          <w:rFonts w:ascii="仿宋_GB2312" w:eastAsia="仿宋_GB2312" w:hint="eastAsia"/>
          <w:sz w:val="32"/>
          <w:szCs w:val="32"/>
        </w:rPr>
        <w:t>14.473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总体目标我局现用办公场所由唐山</w:t>
      </w:r>
      <w:proofErr w:type="gramStart"/>
      <w:r>
        <w:rPr>
          <w:rFonts w:ascii="仿宋_GB2312" w:eastAsia="仿宋_GB2312" w:hint="eastAsia"/>
          <w:sz w:val="32"/>
          <w:szCs w:val="32"/>
        </w:rPr>
        <w:t>湾旅游</w:t>
      </w:r>
      <w:proofErr w:type="gramEnd"/>
      <w:r>
        <w:rPr>
          <w:rFonts w:ascii="仿宋_GB2312" w:eastAsia="仿宋_GB2312" w:hint="eastAsia"/>
          <w:sz w:val="32"/>
          <w:szCs w:val="32"/>
        </w:rPr>
        <w:t>投资控股集团有限公司为我局租用，申请房屋租赁费。</w:t>
      </w:r>
    </w:p>
    <w:p w:rsidR="00762FEC" w:rsidRDefault="009A586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租办公用房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边租办公用房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1.前期准备。成立部门绩效评价小组，学习评价指标体系和绩效相关文件通知。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762FEC" w:rsidRDefault="009A586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762FEC" w:rsidRDefault="009A586C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5E4118">
        <w:rPr>
          <w:rFonts w:ascii="Arial" w:hAnsi="Arial" w:cs="Arial" w:hint="eastAsia"/>
          <w:color w:val="333333"/>
          <w:sz w:val="30"/>
          <w:szCs w:val="30"/>
        </w:rPr>
        <w:t>99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762FEC" w:rsidRDefault="009A586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762FEC" w:rsidRDefault="009A586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租办公用房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E4118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762FEC" w:rsidRDefault="009A586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E4118"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762FEC" w:rsidRDefault="009A586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762FEC" w:rsidRDefault="009A586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E4118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762FEC" w:rsidRDefault="009A586C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E4118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762FEC" w:rsidRDefault="009A586C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762FEC" w:rsidRDefault="009A586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762FEC" w:rsidRDefault="009A586C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762FEC" w:rsidRDefault="009A586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762FEC" w:rsidRDefault="009A586C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762F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62FEC" w:rsidRDefault="009A586C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762FE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Pr="005E4118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5E4118">
              <w:rPr>
                <w:rFonts w:ascii="仿宋" w:eastAsia="仿宋" w:hAnsi="仿宋" w:cs="仿宋" w:hint="eastAsia"/>
                <w:szCs w:val="21"/>
              </w:rPr>
              <w:t>租办公用房</w:t>
            </w:r>
          </w:p>
        </w:tc>
      </w:tr>
      <w:tr w:rsidR="00762FE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89451E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762FE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62F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 w:rsidP="005E411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9A586C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62F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 w:rsidP="005E411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 w:rsidP="005E411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9A586C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62F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62F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62FEC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5E4118">
              <w:rPr>
                <w:rFonts w:ascii="宋体" w:hAnsi="宋体" w:cs="宋体" w:hint="eastAsia"/>
                <w:color w:val="000000"/>
                <w:sz w:val="20"/>
                <w:szCs w:val="20"/>
              </w:rPr>
              <w:t>保障我局办案场所的稳定，提高工作效率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5E4118">
              <w:rPr>
                <w:rFonts w:ascii="宋体" w:hAnsi="宋体" w:cs="宋体" w:hint="eastAsia"/>
                <w:color w:val="00000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762FEC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</w:t>
            </w:r>
            <w:r w:rsidR="009A586C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  <w:r w:rsidR="009A586C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</w:t>
            </w:r>
            <w:r w:rsidR="009A586C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9A586C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5E411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62FEC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9A586C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5E4118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EC" w:rsidRDefault="00762FE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762FEC" w:rsidRDefault="00762FEC"/>
    <w:p w:rsidR="00762FEC" w:rsidRDefault="00762FEC"/>
    <w:p w:rsidR="00762FEC" w:rsidRDefault="00762FEC"/>
    <w:sectPr w:rsidR="00762FEC" w:rsidSect="00762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BF" w:rsidRDefault="00BB3BBF" w:rsidP="005E4118">
      <w:r>
        <w:separator/>
      </w:r>
    </w:p>
  </w:endnote>
  <w:endnote w:type="continuationSeparator" w:id="0">
    <w:p w:rsidR="00BB3BBF" w:rsidRDefault="00BB3BBF" w:rsidP="005E4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BF" w:rsidRDefault="00BB3BBF" w:rsidP="005E4118">
      <w:r>
        <w:separator/>
      </w:r>
    </w:p>
  </w:footnote>
  <w:footnote w:type="continuationSeparator" w:id="0">
    <w:p w:rsidR="00BB3BBF" w:rsidRDefault="00BB3BBF" w:rsidP="005E41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2FEC"/>
    <w:rsid w:val="005E4118"/>
    <w:rsid w:val="00725958"/>
    <w:rsid w:val="00762FEC"/>
    <w:rsid w:val="0089451E"/>
    <w:rsid w:val="009A586C"/>
    <w:rsid w:val="00BB3BBF"/>
    <w:rsid w:val="413C1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FE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E4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4118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5E4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411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28A092-7866-457E-AB4E-A53D452A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291</Words>
  <Characters>1661</Characters>
  <Application>Microsoft Office Word</Application>
  <DocSecurity>0</DocSecurity>
  <Lines>13</Lines>
  <Paragraphs>3</Paragraphs>
  <ScaleCrop>false</ScaleCrop>
  <Company>CN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3</cp:revision>
  <dcterms:created xsi:type="dcterms:W3CDTF">2021-03-16T02:01:00Z</dcterms:created>
  <dcterms:modified xsi:type="dcterms:W3CDTF">2021-03-16T03:02:00Z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