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仿宋_GB2312" w:eastAsia="仿宋_GB2312"/>
          <w:sz w:val="32"/>
          <w:szCs w:val="32"/>
        </w:rPr>
      </w:pPr>
    </w:p>
    <w:p>
      <w:pPr>
        <w:widowControl/>
        <w:jc w:val="left"/>
        <w:rPr>
          <w:rFonts w:ascii="仿宋_GB2312" w:eastAsia="仿宋_GB2312"/>
          <w:sz w:val="32"/>
          <w:szCs w:val="32"/>
        </w:rPr>
      </w:pPr>
      <w:r>
        <w:rPr>
          <w:rFonts w:ascii="仿宋_GB2312" w:eastAsia="仿宋_GB2312"/>
          <w:sz w:val="32"/>
          <w:szCs w:val="32"/>
        </w:rPr>
        <w:br w:type="page"/>
      </w:r>
    </w:p>
    <w:p>
      <w:pPr>
        <w:spacing w:line="300" w:lineRule="exact"/>
        <w:rPr>
          <w:rFonts w:ascii="黑体" w:hAnsi="黑体" w:eastAsia="黑体"/>
          <w:sz w:val="32"/>
          <w:szCs w:val="32"/>
        </w:rPr>
      </w:pPr>
      <w:r>
        <w:rPr>
          <w:rFonts w:hint="eastAsia" w:ascii="黑体" w:hAnsi="黑体" w:eastAsia="黑体"/>
          <w:sz w:val="32"/>
          <w:szCs w:val="32"/>
        </w:rPr>
        <w:t>附件1</w:t>
      </w:r>
    </w:p>
    <w:tbl>
      <w:tblPr>
        <w:tblStyle w:val="5"/>
        <w:tblW w:w="0" w:type="auto"/>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keepNext w:val="0"/>
              <w:keepLines w:val="0"/>
              <w:widowControl/>
              <w:suppressLineNumbers w:val="0"/>
              <w:spacing w:before="0" w:beforeAutospacing="0" w:after="0" w:afterAutospacing="0" w:line="320" w:lineRule="exact"/>
              <w:ind w:left="0" w:right="0"/>
              <w:jc w:val="center"/>
              <w:rPr>
                <w:rFonts w:hint="default"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keepNext w:val="0"/>
              <w:keepLines w:val="0"/>
              <w:widowControl/>
              <w:suppressLineNumbers w:val="0"/>
              <w:spacing w:before="0" w:beforeAutospacing="0" w:after="0" w:afterAutospacing="0"/>
              <w:ind w:left="0" w:right="0"/>
              <w:jc w:val="center"/>
              <w:rPr>
                <w:rFonts w:hint="default" w:ascii="宋体" w:hAnsi="宋体" w:cs="宋体"/>
                <w:kern w:val="0"/>
                <w:sz w:val="22"/>
                <w:szCs w:val="22"/>
              </w:rPr>
            </w:pPr>
            <w:r>
              <w:rPr>
                <w:rFonts w:hint="eastAsia" w:ascii="宋体" w:hAnsi="宋体" w:cs="宋体"/>
                <w:kern w:val="0"/>
                <w:sz w:val="22"/>
                <w:szCs w:val="22"/>
              </w:rPr>
              <w:t>（</w:t>
            </w:r>
            <w:r>
              <w:rPr>
                <w:rFonts w:hint="default" w:ascii="宋体" w:hAnsi="宋体" w:cs="宋体"/>
                <w:kern w:val="0"/>
                <w:sz w:val="22"/>
                <w:szCs w:val="22"/>
              </w:rPr>
              <w:t>202</w:t>
            </w:r>
            <w:r>
              <w:rPr>
                <w:rFonts w:hint="eastAsia" w:ascii="宋体" w:hAnsi="宋体" w:cs="宋体"/>
                <w:kern w:val="0"/>
                <w:sz w:val="22"/>
                <w:szCs w:val="22"/>
                <w:lang w:val="en-US" w:eastAsia="zh-CN"/>
              </w:rPr>
              <w:t>0</w:t>
            </w:r>
            <w:r>
              <w:rPr>
                <w:rFonts w:hint="eastAsia" w:ascii="宋体" w:hAnsi="宋体" w:cs="宋体"/>
                <w:kern w:val="0"/>
                <w:sz w:val="22"/>
                <w:szCs w:val="22"/>
              </w:rPr>
              <w:t>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lang w:val="en-US" w:eastAsia="zh-CN"/>
              </w:rPr>
              <w:t>兵役征集</w:t>
            </w:r>
            <w:r>
              <w:rPr>
                <w:rFonts w:hint="eastAsia" w:ascii="宋体" w:hAnsi="宋体" w:cs="宋体"/>
                <w:kern w:val="0"/>
                <w:sz w:val="18"/>
                <w:szCs w:val="18"/>
              </w:rPr>
              <w:t>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党政综合办公室</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rPr>
                <w:rFonts w:hint="default"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1134"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1134"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1.99</w:t>
            </w:r>
          </w:p>
        </w:tc>
        <w:tc>
          <w:tcPr>
            <w:tcW w:w="709"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9</w:t>
            </w:r>
          </w:p>
        </w:tc>
        <w:tc>
          <w:tcPr>
            <w:tcW w:w="851"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lang w:val="en-US" w:eastAsia="zh-CN"/>
              </w:rPr>
              <w:t>99</w:t>
            </w:r>
            <w:r>
              <w:rPr>
                <w:rFonts w:hint="eastAsia" w:ascii="宋体" w:hAnsi="宋体" w:cs="宋体"/>
                <w:kern w:val="0"/>
                <w:sz w:val="18"/>
                <w:szCs w:val="18"/>
              </w:rPr>
              <w:t>%</w:t>
            </w:r>
          </w:p>
        </w:tc>
        <w:tc>
          <w:tcPr>
            <w:tcW w:w="70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1134"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1134"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1.99</w:t>
            </w:r>
          </w:p>
        </w:tc>
        <w:tc>
          <w:tcPr>
            <w:tcW w:w="709"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lang w:val="en-US" w:eastAsia="zh-CN"/>
              </w:rPr>
              <w:t>99</w:t>
            </w:r>
            <w:r>
              <w:rPr>
                <w:rFonts w:hint="eastAsia" w:ascii="宋体" w:hAnsi="宋体" w:cs="宋体"/>
                <w:kern w:val="0"/>
                <w:sz w:val="18"/>
                <w:szCs w:val="18"/>
              </w:rPr>
              <w:t>%</w:t>
            </w:r>
          </w:p>
        </w:tc>
        <w:tc>
          <w:tcPr>
            <w:tcW w:w="70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0</w:t>
            </w:r>
          </w:p>
        </w:tc>
        <w:tc>
          <w:tcPr>
            <w:tcW w:w="1134"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0</w:t>
            </w:r>
          </w:p>
        </w:tc>
        <w:tc>
          <w:tcPr>
            <w:tcW w:w="1134"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0</w:t>
            </w:r>
          </w:p>
        </w:tc>
        <w:tc>
          <w:tcPr>
            <w:tcW w:w="709"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0%</w:t>
            </w:r>
          </w:p>
        </w:tc>
        <w:tc>
          <w:tcPr>
            <w:tcW w:w="70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0</w:t>
            </w:r>
          </w:p>
        </w:tc>
        <w:tc>
          <w:tcPr>
            <w:tcW w:w="1134"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0</w:t>
            </w:r>
          </w:p>
        </w:tc>
        <w:tc>
          <w:tcPr>
            <w:tcW w:w="1134"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0</w:t>
            </w:r>
          </w:p>
        </w:tc>
        <w:tc>
          <w:tcPr>
            <w:tcW w:w="709"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0%</w:t>
            </w:r>
          </w:p>
        </w:tc>
        <w:tc>
          <w:tcPr>
            <w:tcW w:w="70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通过对机关大院和集中办公区的物业管理，提供环境优美、设施完善、良好秩序的办公环境。</w:t>
            </w:r>
          </w:p>
        </w:tc>
        <w:tc>
          <w:tcPr>
            <w:tcW w:w="3402" w:type="dxa"/>
            <w:gridSpan w:val="7"/>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eastAsia" w:ascii="宋体" w:hAnsi="宋体" w:eastAsia="宋体" w:cs="宋体"/>
                <w:color w:val="000000"/>
                <w:kern w:val="2"/>
                <w:sz w:val="21"/>
                <w:szCs w:val="21"/>
                <w:lang w:val="en-US" w:eastAsia="zh-CN" w:bidi="ar"/>
              </w:rPr>
            </w:pPr>
            <w:r>
              <w:rPr>
                <w:rFonts w:hint="eastAsia" w:ascii="宋体" w:hAnsi="宋体" w:cs="宋体"/>
                <w:kern w:val="0"/>
                <w:sz w:val="18"/>
                <w:szCs w:val="18"/>
                <w:lang w:val="en-US" w:eastAsia="zh-CN"/>
              </w:rPr>
              <w:t>对办公区设施设备维护服务、维护办公楼设施郑成功使用，完成了预期目标</w:t>
            </w:r>
            <w:r>
              <w:rPr>
                <w:rFonts w:hint="eastAsia" w:ascii="宋体" w:hAnsi="宋体" w:eastAsia="宋体" w:cs="宋体"/>
                <w:color w:val="000000"/>
                <w:kern w:val="2"/>
                <w:sz w:val="21"/>
                <w:szCs w:val="21"/>
                <w:lang w:val="en-US" w:eastAsia="zh-CN" w:bidi="ar"/>
              </w:rPr>
              <w:t>。</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年度</w:t>
            </w:r>
          </w:p>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实际</w:t>
            </w:r>
          </w:p>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指标1：预算支出</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w:t>
            </w:r>
            <w:r>
              <w:rPr>
                <w:rFonts w:hint="eastAsia" w:ascii="宋体" w:hAnsi="宋体" w:cs="宋体"/>
                <w:kern w:val="0"/>
                <w:sz w:val="18"/>
                <w:szCs w:val="18"/>
                <w:lang w:val="en-US" w:eastAsia="zh-CN"/>
              </w:rPr>
              <w:t>2</w:t>
            </w:r>
            <w:r>
              <w:rPr>
                <w:rFonts w:hint="eastAsia" w:ascii="宋体" w:hAnsi="宋体" w:cs="宋体"/>
                <w:kern w:val="0"/>
                <w:sz w:val="18"/>
                <w:szCs w:val="18"/>
              </w:rPr>
              <w:t>万</w:t>
            </w: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1.99</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2</w:t>
            </w:r>
            <w:r>
              <w:rPr>
                <w:rFonts w:hint="default" w:ascii="宋体" w:hAnsi="宋体" w:cs="宋体"/>
                <w:kern w:val="0"/>
                <w:sz w:val="18"/>
                <w:szCs w:val="18"/>
              </w:rPr>
              <w:t>0</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完成征兵任务</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1</w:t>
            </w: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1</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1</w:t>
            </w:r>
            <w:r>
              <w:rPr>
                <w:rFonts w:hint="default" w:ascii="宋体" w:hAnsi="宋体" w:cs="宋体"/>
                <w:kern w:val="0"/>
                <w:sz w:val="18"/>
                <w:szCs w:val="18"/>
              </w:rPr>
              <w:t>0</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1</w:t>
            </w:r>
            <w:r>
              <w:rPr>
                <w:rFonts w:hint="default" w:ascii="宋体" w:hAnsi="宋体" w:cs="宋体"/>
                <w:kern w:val="0"/>
                <w:sz w:val="18"/>
                <w:szCs w:val="18"/>
              </w:rPr>
              <w:t>0</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指标1：工作如期开展</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1</w:t>
            </w: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1</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1</w:t>
            </w:r>
            <w:r>
              <w:rPr>
                <w:rFonts w:hint="default" w:ascii="宋体" w:hAnsi="宋体" w:cs="宋体"/>
                <w:kern w:val="0"/>
                <w:sz w:val="18"/>
                <w:szCs w:val="18"/>
              </w:rPr>
              <w:t>0</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1</w:t>
            </w:r>
            <w:r>
              <w:rPr>
                <w:rFonts w:hint="default" w:ascii="宋体" w:hAnsi="宋体" w:cs="宋体"/>
                <w:kern w:val="0"/>
                <w:sz w:val="18"/>
                <w:szCs w:val="18"/>
              </w:rPr>
              <w:t>0</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指标1：控制采购成本</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1</w:t>
            </w:r>
            <w:r>
              <w:rPr>
                <w:rFonts w:hint="default" w:ascii="宋体" w:hAnsi="宋体" w:cs="宋体"/>
                <w:kern w:val="0"/>
                <w:sz w:val="18"/>
                <w:szCs w:val="18"/>
              </w:rPr>
              <w:t>0</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default" w:ascii="宋体" w:hAnsi="宋体" w:cs="宋体"/>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经济效益</w:t>
            </w:r>
          </w:p>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社会效益</w:t>
            </w:r>
          </w:p>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完成国防建设</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rPr>
              <w:t>指标2：</w:t>
            </w:r>
            <w:r>
              <w:rPr>
                <w:rFonts w:hint="eastAsia" w:ascii="宋体" w:hAnsi="宋体" w:cs="宋体"/>
                <w:color w:val="000000"/>
                <w:kern w:val="0"/>
                <w:sz w:val="18"/>
                <w:szCs w:val="18"/>
                <w:lang w:val="en-US" w:eastAsia="zh-CN"/>
              </w:rPr>
              <w:t>廉洁征兵</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生态效益</w:t>
            </w:r>
          </w:p>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eastAsia" w:ascii="宋体" w:hAnsi="宋体" w:cs="宋体"/>
                <w:color w:val="000000"/>
                <w:kern w:val="0"/>
                <w:sz w:val="18"/>
                <w:szCs w:val="18"/>
              </w:rPr>
            </w:pPr>
            <w:r>
              <w:rPr>
                <w:rFonts w:hint="eastAsia" w:ascii="宋体" w:hAnsi="宋体" w:cs="宋体"/>
                <w:color w:val="000000"/>
                <w:kern w:val="0"/>
                <w:sz w:val="18"/>
                <w:szCs w:val="18"/>
              </w:rPr>
              <w:t>指标</w:t>
            </w:r>
            <w:r>
              <w:rPr>
                <w:rFonts w:hint="default" w:ascii="宋体" w:hAnsi="宋体" w:cs="宋体"/>
                <w:color w:val="000000"/>
                <w:kern w:val="0"/>
                <w:sz w:val="18"/>
                <w:szCs w:val="18"/>
              </w:rPr>
              <w:t>3</w:t>
            </w: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增强国防动员力</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满意度</w:t>
            </w:r>
          </w:p>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指标1：机关满意度</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1</w:t>
            </w:r>
            <w:r>
              <w:rPr>
                <w:rFonts w:hint="default" w:ascii="宋体" w:hAnsi="宋体" w:cs="宋体"/>
                <w:kern w:val="0"/>
                <w:sz w:val="18"/>
                <w:szCs w:val="18"/>
              </w:rPr>
              <w:t>0</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1</w:t>
            </w:r>
            <w:r>
              <w:rPr>
                <w:rFonts w:hint="default" w:ascii="宋体" w:hAnsi="宋体" w:cs="宋体"/>
                <w:kern w:val="0"/>
                <w:sz w:val="18"/>
                <w:szCs w:val="18"/>
              </w:rPr>
              <w:t>0</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rPr>
                <w:rFonts w:hint="default"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99</w:t>
            </w:r>
          </w:p>
        </w:tc>
        <w:tc>
          <w:tcPr>
            <w:tcW w:w="1417"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 w:hAnsi="仿宋" w:eastAsia="仿宋" w:cs="仿宋"/>
          <w:sz w:val="32"/>
          <w:szCs w:val="32"/>
        </w:rPr>
        <w:t>根据《中华人民共和国预算法》、《中共唐山市委 唐山市人民政府关于全面实施预算绩效管理的实施意见》等有关规定，</w:t>
      </w:r>
      <w:r>
        <w:rPr>
          <w:rFonts w:hint="eastAsia" w:ascii="仿宋" w:hAnsi="仿宋" w:eastAsia="仿宋" w:cs="仿宋"/>
          <w:color w:val="000000"/>
          <w:sz w:val="32"/>
          <w:szCs w:val="32"/>
          <w:shd w:val="clear" w:color="auto" w:fill="FFFFFF"/>
          <w:lang w:bidi="ar"/>
        </w:rPr>
        <w:t>结合我局实际</w:t>
      </w:r>
      <w:r>
        <w:rPr>
          <w:rFonts w:hint="eastAsia" w:ascii="仿宋" w:hAnsi="仿宋" w:eastAsia="仿宋" w:cs="仿宋"/>
          <w:color w:val="333333"/>
          <w:sz w:val="32"/>
          <w:szCs w:val="32"/>
        </w:rPr>
        <w:t>，</w:t>
      </w:r>
      <w:r>
        <w:rPr>
          <w:rFonts w:hint="eastAsia" w:ascii="仿宋_GB2312" w:eastAsia="仿宋_GB2312"/>
          <w:sz w:val="32"/>
          <w:szCs w:val="32"/>
        </w:rPr>
        <w:t>我局成立评价小组并安排专门人员负责</w:t>
      </w:r>
      <w:r>
        <w:rPr>
          <w:rFonts w:ascii="仿宋_GB2312" w:eastAsia="仿宋_GB2312"/>
          <w:sz w:val="32"/>
          <w:szCs w:val="32"/>
        </w:rPr>
        <w:t>2020</w:t>
      </w:r>
      <w:r>
        <w:rPr>
          <w:rFonts w:hint="eastAsia" w:ascii="仿宋_GB2312" w:eastAsia="仿宋_GB2312"/>
          <w:sz w:val="32"/>
          <w:szCs w:val="32"/>
        </w:rPr>
        <w:t>年绩效评价推进工作，加强我区项目支出绩效管理，提高财政资金使用效益和公共服务质量 。</w:t>
      </w:r>
    </w:p>
    <w:p>
      <w:pPr>
        <w:widowControl/>
        <w:shd w:val="clear" w:color="auto" w:fill="FFFFFF"/>
        <w:spacing w:line="432" w:lineRule="auto"/>
        <w:ind w:firstLine="640" w:firstLineChars="200"/>
        <w:jc w:val="left"/>
        <w:rPr>
          <w:rFonts w:ascii="仿宋" w:hAnsi="仿宋" w:eastAsia="仿宋" w:cs="仿宋"/>
          <w:sz w:val="32"/>
          <w:szCs w:val="32"/>
        </w:rPr>
      </w:pPr>
      <w:r>
        <w:rPr>
          <w:rFonts w:hint="eastAsia" w:ascii="仿宋_GB2312" w:eastAsia="仿宋_GB2312"/>
          <w:sz w:val="32"/>
          <w:szCs w:val="32"/>
        </w:rPr>
        <w:t>（二）项目绩效目标。</w:t>
      </w:r>
      <w:r>
        <w:rPr>
          <w:rFonts w:hint="eastAsia" w:ascii="仿宋" w:hAnsi="仿宋" w:eastAsia="仿宋" w:cs="仿宋"/>
          <w:kern w:val="2"/>
          <w:sz w:val="32"/>
          <w:szCs w:val="32"/>
          <w:lang w:val="en-US" w:eastAsia="zh-CN" w:bidi="ar"/>
        </w:rPr>
        <w:t>党政综合办公室负责辖区人民武装工作， 通过覆盖全区征兵宣传，完成军分区下达征兵任务，通过役前训练，有效提升兵源质量，通过政审、体检、二次体检，降低退兵比例。</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widowControl/>
        <w:shd w:val="clear" w:color="auto" w:fill="FFFFFF"/>
        <w:spacing w:line="432" w:lineRule="auto"/>
        <w:ind w:firstLine="640" w:firstLineChars="200"/>
        <w:jc w:val="left"/>
        <w:rPr>
          <w:rFonts w:ascii="仿宋_GB2312" w:eastAsia="仿宋_GB2312"/>
          <w:sz w:val="32"/>
          <w:szCs w:val="32"/>
        </w:rPr>
      </w:pPr>
      <w:r>
        <w:rPr>
          <w:rFonts w:hint="eastAsia" w:ascii="仿宋_GB2312" w:eastAsia="仿宋_GB2312"/>
          <w:sz w:val="32"/>
          <w:szCs w:val="32"/>
        </w:rPr>
        <w:t>（一）绩效评价目的、对象和范围。</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为加强我区项目支出绩效管理，提高财政资金使用效益和公共服务质量 ，本部门制定绩效自评制度办法或操作细则，具体组织实施本部门的绩效自评工作，加强绩效自评结果应用，并对自评结果的真实性、合法性、完整性负责。</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（二）绩效评价原则、评价指标体系（附表说明）、评价方法、评价标准等。</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（三）绩效评价工作过程。</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本部门为实现绩效评价工作，我局成立评价小组并安排专门人员负责20</w:t>
      </w:r>
      <w:r>
        <w:rPr>
          <w:rFonts w:ascii="仿宋" w:hAnsi="仿宋" w:eastAsia="仿宋" w:cs="仿宋"/>
          <w:sz w:val="32"/>
          <w:szCs w:val="32"/>
        </w:rPr>
        <w:t>20</w:t>
      </w:r>
      <w:r>
        <w:rPr>
          <w:rFonts w:hint="eastAsia" w:ascii="仿宋" w:hAnsi="仿宋" w:eastAsia="仿宋" w:cs="仿宋"/>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我区财政局关于印发《唐山国际旅游岛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按要求将评价结果公开，加强绩效评价运行监控，发现问题及时采取措施，确保绩效目标如期保质实现。</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按要求开展部门项目支出绩效自评和重点评价工作，对评价中发现的问题及时整改，调整优化支出结构，提高财政资金使用效益。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三、综合评价情况及评价结论</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唐山国际旅游岛党政综合办公室作为项目实施单位，主要负责机关日常业务的组织协调工作；行政接待、政务督查工作、会务服务工作</w:t>
      </w:r>
      <w:r>
        <w:rPr>
          <w:rFonts w:hint="eastAsia" w:ascii="仿宋" w:hAnsi="仿宋" w:eastAsia="仿宋" w:cs="仿宋"/>
          <w:sz w:val="32"/>
          <w:szCs w:val="32"/>
          <w:lang w:eastAsia="zh-CN"/>
        </w:rPr>
        <w:t>、</w:t>
      </w:r>
      <w:r>
        <w:rPr>
          <w:rFonts w:hint="eastAsia" w:ascii="仿宋" w:hAnsi="仿宋" w:eastAsia="仿宋" w:cs="仿宋"/>
          <w:sz w:val="32"/>
          <w:szCs w:val="32"/>
        </w:rPr>
        <w:t>后勤保障工作</w:t>
      </w:r>
      <w:r>
        <w:rPr>
          <w:rFonts w:hint="eastAsia" w:ascii="仿宋" w:hAnsi="仿宋" w:eastAsia="仿宋" w:cs="仿宋"/>
          <w:sz w:val="32"/>
          <w:szCs w:val="32"/>
          <w:lang w:val="en-US" w:eastAsia="zh-CN"/>
        </w:rPr>
        <w:t>和人民武装工作</w:t>
      </w:r>
      <w:r>
        <w:rPr>
          <w:rFonts w:hint="eastAsia" w:ascii="仿宋" w:hAnsi="仿宋" w:eastAsia="仿宋" w:cs="仿宋"/>
          <w:sz w:val="32"/>
          <w:szCs w:val="32"/>
        </w:rPr>
        <w:t>。20</w:t>
      </w:r>
      <w:r>
        <w:rPr>
          <w:rFonts w:ascii="仿宋" w:hAnsi="仿宋" w:eastAsia="仿宋" w:cs="仿宋"/>
          <w:sz w:val="32"/>
          <w:szCs w:val="32"/>
        </w:rPr>
        <w:t>20</w:t>
      </w:r>
      <w:r>
        <w:rPr>
          <w:rFonts w:hint="eastAsia" w:ascii="仿宋" w:hAnsi="仿宋" w:eastAsia="仿宋" w:cs="仿宋"/>
          <w:sz w:val="32"/>
          <w:szCs w:val="32"/>
        </w:rPr>
        <w:t>年度完成了</w:t>
      </w:r>
      <w:r>
        <w:rPr>
          <w:rFonts w:hint="eastAsia" w:ascii="仿宋" w:hAnsi="仿宋" w:eastAsia="仿宋" w:cs="仿宋"/>
          <w:sz w:val="32"/>
          <w:szCs w:val="32"/>
          <w:lang w:val="en-US" w:eastAsia="zh-CN"/>
        </w:rPr>
        <w:t>征兵宣传、征兵体检、役前训练等相关工作。</w:t>
      </w:r>
      <w:r>
        <w:rPr>
          <w:rFonts w:hint="eastAsia" w:ascii="仿宋" w:hAnsi="仿宋" w:eastAsia="仿宋" w:cs="仿宋"/>
          <w:kern w:val="2"/>
          <w:sz w:val="32"/>
          <w:szCs w:val="32"/>
          <w:lang w:val="en-US" w:eastAsia="zh-CN" w:bidi="ar"/>
        </w:rPr>
        <w:t>年初预算资金2元，实际支出19900元，资金使用率99%。</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按照财政支出绩效评价指标体系评分标准，</w:t>
      </w:r>
      <w:r>
        <w:rPr>
          <w:rFonts w:hint="eastAsia" w:ascii="仿宋" w:hAnsi="仿宋" w:eastAsia="仿宋" w:cs="仿宋"/>
          <w:sz w:val="32"/>
          <w:szCs w:val="32"/>
          <w:lang w:val="en-US" w:eastAsia="zh-CN"/>
        </w:rPr>
        <w:t>兵役征集经费</w:t>
      </w:r>
      <w:r>
        <w:rPr>
          <w:rFonts w:hint="eastAsia" w:ascii="仿宋" w:hAnsi="仿宋" w:eastAsia="仿宋" w:cs="仿宋"/>
          <w:sz w:val="32"/>
          <w:szCs w:val="32"/>
        </w:rPr>
        <w:t>使用情况良好，无超范围使用或其他不当情形，共计9</w:t>
      </w:r>
      <w:r>
        <w:rPr>
          <w:rFonts w:hint="eastAsia" w:ascii="仿宋" w:hAnsi="仿宋" w:eastAsia="仿宋" w:cs="仿宋"/>
          <w:sz w:val="32"/>
          <w:szCs w:val="32"/>
          <w:lang w:val="en-US" w:eastAsia="zh-CN"/>
        </w:rPr>
        <w:t>9</w:t>
      </w:r>
      <w:r>
        <w:rPr>
          <w:rFonts w:hint="eastAsia" w:ascii="仿宋" w:hAnsi="仿宋" w:eastAsia="仿宋" w:cs="仿宋"/>
          <w:sz w:val="32"/>
          <w:szCs w:val="32"/>
        </w:rPr>
        <w:t>分，拟自评等级为优。</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widowControl/>
        <w:shd w:val="clear" w:color="auto" w:fill="FFFFFF"/>
        <w:spacing w:line="432" w:lineRule="auto"/>
        <w:ind w:firstLine="640" w:firstLineChars="200"/>
        <w:jc w:val="left"/>
        <w:rPr>
          <w:rFonts w:ascii="仿宋_GB2312" w:eastAsia="仿宋_GB2312"/>
          <w:sz w:val="32"/>
          <w:szCs w:val="32"/>
        </w:rPr>
      </w:pPr>
      <w:r>
        <w:rPr>
          <w:rFonts w:hint="eastAsia" w:ascii="仿宋_GB2312" w:eastAsia="仿宋_GB2312"/>
          <w:sz w:val="32"/>
          <w:szCs w:val="32"/>
        </w:rPr>
        <w:t>（一）项目决策情况。</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ascii="仿宋" w:hAnsi="仿宋" w:eastAsia="仿宋" w:cs="仿宋"/>
          <w:sz w:val="32"/>
          <w:szCs w:val="32"/>
        </w:rPr>
        <w:t>2020年度</w:t>
      </w:r>
      <w:r>
        <w:rPr>
          <w:rFonts w:hint="eastAsia" w:ascii="仿宋" w:hAnsi="仿宋" w:eastAsia="仿宋" w:cs="仿宋"/>
          <w:sz w:val="32"/>
          <w:szCs w:val="32"/>
          <w:lang w:val="en-US" w:eastAsia="zh-CN"/>
        </w:rPr>
        <w:t>兵役征集经费</w:t>
      </w:r>
      <w:r>
        <w:rPr>
          <w:rFonts w:ascii="仿宋" w:hAnsi="仿宋" w:eastAsia="仿宋" w:cs="仿宋"/>
          <w:sz w:val="32"/>
          <w:szCs w:val="32"/>
        </w:rPr>
        <w:t>的资金申报、评审、批准、下达程序规范、资金分配合理，符合相关资金管理办法的规定。财政局积极履行项目管理职责，加强项目的日常跟踪管理，定期检查资金使用情况。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我局的财务信息规范、健全，各项支付手续完备，准确地记录和反映了项目支出的具体情况，原始凭证、会计账簿、财务报表等会计资料都能按期编制、整理归档。</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ascii="仿宋_GB2312" w:eastAsia="仿宋_GB2312"/>
          <w:sz w:val="32"/>
          <w:szCs w:val="32"/>
        </w:rPr>
      </w:pPr>
      <w:r>
        <w:rPr>
          <w:rFonts w:ascii="仿宋" w:hAnsi="仿宋" w:eastAsia="仿宋" w:cs="仿宋"/>
          <w:sz w:val="32"/>
          <w:szCs w:val="32"/>
        </w:rPr>
        <w:t>项目组织机构健全。实施程序规范，组织实施情况良好。项目资金使用合规，无截留、挤占、挪用项目资金情况。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ascii="仿宋_GB2312" w:eastAsia="仿宋_GB2312"/>
          <w:sz w:val="32"/>
          <w:szCs w:val="32"/>
        </w:rPr>
      </w:pPr>
      <w:r>
        <w:rPr>
          <w:rFonts w:ascii="仿宋" w:hAnsi="仿宋" w:eastAsia="仿宋" w:cs="仿宋"/>
          <w:sz w:val="32"/>
          <w:szCs w:val="32"/>
        </w:rPr>
        <w:t>项目产出完成情况良好，效益发挥显著，促进了</w:t>
      </w:r>
      <w:r>
        <w:rPr>
          <w:rFonts w:hint="eastAsia" w:ascii="仿宋" w:hAnsi="仿宋" w:eastAsia="仿宋" w:cs="仿宋"/>
          <w:sz w:val="32"/>
          <w:szCs w:val="32"/>
        </w:rPr>
        <w:t>我区日常政务工作的有序开展。</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通过对</w:t>
      </w:r>
      <w:r>
        <w:rPr>
          <w:rFonts w:hint="eastAsia" w:ascii="仿宋_GB2312" w:eastAsia="仿宋_GB2312"/>
          <w:sz w:val="32"/>
          <w:szCs w:val="32"/>
          <w:lang w:val="en-US" w:eastAsia="zh-CN"/>
        </w:rPr>
        <w:t>兵役征集经费</w:t>
      </w:r>
      <w:r>
        <w:rPr>
          <w:rFonts w:hint="eastAsia" w:ascii="仿宋_GB2312" w:eastAsia="仿宋_GB2312"/>
          <w:sz w:val="32"/>
          <w:szCs w:val="32"/>
        </w:rPr>
        <w:t>的使用，有效的提升了我</w:t>
      </w:r>
      <w:r>
        <w:rPr>
          <w:rFonts w:hint="eastAsia" w:ascii="仿宋_GB2312" w:eastAsia="仿宋_GB2312"/>
          <w:sz w:val="32"/>
          <w:szCs w:val="32"/>
          <w:lang w:val="en-US" w:eastAsia="zh-CN"/>
        </w:rPr>
        <w:t>区政务</w:t>
      </w:r>
      <w:r>
        <w:rPr>
          <w:rFonts w:hint="eastAsia" w:ascii="仿宋_GB2312" w:eastAsia="仿宋_GB2312"/>
          <w:sz w:val="32"/>
          <w:szCs w:val="32"/>
        </w:rPr>
        <w:t>服务水平，提高了</w:t>
      </w:r>
      <w:r>
        <w:rPr>
          <w:rFonts w:hint="eastAsia" w:ascii="仿宋_GB2312" w:eastAsia="仿宋_GB2312"/>
          <w:sz w:val="32"/>
          <w:szCs w:val="32"/>
          <w:lang w:val="en-US" w:eastAsia="zh-CN"/>
        </w:rPr>
        <w:t>人民武装建设</w:t>
      </w:r>
      <w:r>
        <w:rPr>
          <w:rFonts w:hint="eastAsia" w:ascii="仿宋_GB2312" w:eastAsia="仿宋_GB2312"/>
          <w:sz w:val="32"/>
          <w:szCs w:val="32"/>
        </w:rPr>
        <w:t>，</w:t>
      </w:r>
      <w:r>
        <w:rPr>
          <w:rFonts w:hint="eastAsia" w:ascii="仿宋_GB2312" w:eastAsia="仿宋_GB2312"/>
          <w:sz w:val="32"/>
          <w:szCs w:val="32"/>
          <w:lang w:val="en-US" w:eastAsia="zh-CN"/>
        </w:rPr>
        <w:t>完成了国防任务，</w:t>
      </w:r>
      <w:bookmarkStart w:id="0" w:name="_GoBack"/>
      <w:bookmarkEnd w:id="0"/>
      <w:r>
        <w:rPr>
          <w:rFonts w:hint="eastAsia" w:ascii="仿宋_GB2312" w:eastAsia="仿宋_GB2312"/>
          <w:sz w:val="32"/>
          <w:szCs w:val="32"/>
        </w:rPr>
        <w:t>确保管委会各项工作如期开展</w:t>
      </w:r>
      <w:r>
        <w:rPr>
          <w:rFonts w:hint="eastAsia" w:ascii="仿宋_GB2312" w:eastAsia="仿宋_GB2312"/>
          <w:sz w:val="32"/>
          <w:szCs w:val="32"/>
          <w:lang w:eastAsia="zh-CN"/>
        </w:rPr>
        <w:t>。</w:t>
      </w:r>
    </w:p>
    <w:p>
      <w:pPr>
        <w:spacing w:line="600" w:lineRule="exact"/>
        <w:ind w:firstLine="640" w:firstLineChars="200"/>
        <w:outlineLvl w:val="0"/>
        <w:rPr>
          <w:rFonts w:ascii="黑体" w:hAnsi="黑体" w:eastAsia="黑体"/>
          <w:sz w:val="32"/>
          <w:szCs w:val="32"/>
        </w:rPr>
      </w:pPr>
      <w:r>
        <w:rPr>
          <w:rFonts w:hint="eastAsia" w:ascii="黑体" w:hAnsi="黑体" w:eastAsia="黑体"/>
          <w:sz w:val="32"/>
          <w:szCs w:val="32"/>
        </w:rPr>
        <w:t>五、主要经验及做法、存在的问题及原因分析</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我单位对专项经费进行科学规划，逐层分解指标，对经费的使用严格把关，按季度及时支付。主要存在的问题有经费的使用缺乏统筹性，不能较好与各项活动开展进行配合，造成指标的使用存在一定波动，影响全年的经费支出比例。</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六、有关建议</w:t>
      </w:r>
    </w:p>
    <w:p>
      <w:pPr>
        <w:spacing w:line="600" w:lineRule="exact"/>
        <w:ind w:firstLine="640" w:firstLineChars="200"/>
        <w:rPr>
          <w:rFonts w:ascii="仿宋_GB2312" w:eastAsia="仿宋_GB2312"/>
          <w:bCs/>
          <w:sz w:val="32"/>
          <w:szCs w:val="32"/>
        </w:rPr>
      </w:pPr>
      <w:r>
        <w:rPr>
          <w:rFonts w:hint="eastAsia" w:ascii="黑体" w:hAnsi="黑体" w:eastAsia="黑体"/>
          <w:sz w:val="32"/>
          <w:szCs w:val="32"/>
        </w:rPr>
        <w:t>七、其他需要说明的问题</w:t>
      </w: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1279"/>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57884"/>
    <w:rsid w:val="00760B15"/>
    <w:rsid w:val="007632B1"/>
    <w:rsid w:val="00770F76"/>
    <w:rsid w:val="0078625F"/>
    <w:rsid w:val="007A5561"/>
    <w:rsid w:val="007C6528"/>
    <w:rsid w:val="007C7E41"/>
    <w:rsid w:val="007E6B24"/>
    <w:rsid w:val="00803339"/>
    <w:rsid w:val="00811C75"/>
    <w:rsid w:val="00835D25"/>
    <w:rsid w:val="0084364A"/>
    <w:rsid w:val="00853CD8"/>
    <w:rsid w:val="00854DA3"/>
    <w:rsid w:val="00856852"/>
    <w:rsid w:val="00857512"/>
    <w:rsid w:val="00872708"/>
    <w:rsid w:val="00885E5D"/>
    <w:rsid w:val="00887CC0"/>
    <w:rsid w:val="008C1745"/>
    <w:rsid w:val="008C4E87"/>
    <w:rsid w:val="008E061C"/>
    <w:rsid w:val="008E1C28"/>
    <w:rsid w:val="008E40B5"/>
    <w:rsid w:val="008F436A"/>
    <w:rsid w:val="00900530"/>
    <w:rsid w:val="00900815"/>
    <w:rsid w:val="00922E40"/>
    <w:rsid w:val="0093544C"/>
    <w:rsid w:val="00936AFC"/>
    <w:rsid w:val="00943FE6"/>
    <w:rsid w:val="009748FF"/>
    <w:rsid w:val="009844FF"/>
    <w:rsid w:val="0098463C"/>
    <w:rsid w:val="009A5CE6"/>
    <w:rsid w:val="009B1E0F"/>
    <w:rsid w:val="009B2FC3"/>
    <w:rsid w:val="009B3D8B"/>
    <w:rsid w:val="009C3CCA"/>
    <w:rsid w:val="009C702C"/>
    <w:rsid w:val="009E13F7"/>
    <w:rsid w:val="009E2A93"/>
    <w:rsid w:val="009F44F6"/>
    <w:rsid w:val="00A01F87"/>
    <w:rsid w:val="00A23AB2"/>
    <w:rsid w:val="00A31953"/>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0C84"/>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F554B5A"/>
    <w:rsid w:val="18873599"/>
    <w:rsid w:val="19727A08"/>
    <w:rsid w:val="1C442C51"/>
    <w:rsid w:val="1DC24F9A"/>
    <w:rsid w:val="20B954DA"/>
    <w:rsid w:val="22063947"/>
    <w:rsid w:val="25974E59"/>
    <w:rsid w:val="295B2DEC"/>
    <w:rsid w:val="320F4D9B"/>
    <w:rsid w:val="339E6573"/>
    <w:rsid w:val="389E00A4"/>
    <w:rsid w:val="3AEC43A8"/>
    <w:rsid w:val="3F1C0BCF"/>
    <w:rsid w:val="428155B6"/>
    <w:rsid w:val="4422542E"/>
    <w:rsid w:val="45C57431"/>
    <w:rsid w:val="46B41D9E"/>
    <w:rsid w:val="49874FB1"/>
    <w:rsid w:val="4AA16EC6"/>
    <w:rsid w:val="512C3D82"/>
    <w:rsid w:val="539E448E"/>
    <w:rsid w:val="55920A4F"/>
    <w:rsid w:val="56127CD9"/>
    <w:rsid w:val="59633DCD"/>
    <w:rsid w:val="59666823"/>
    <w:rsid w:val="5B3F508F"/>
    <w:rsid w:val="5C4131A4"/>
    <w:rsid w:val="5DFB70AF"/>
    <w:rsid w:val="656F3766"/>
    <w:rsid w:val="68000AD0"/>
    <w:rsid w:val="685B4680"/>
    <w:rsid w:val="6DC26FF5"/>
    <w:rsid w:val="6ED95550"/>
    <w:rsid w:val="6F3434CF"/>
    <w:rsid w:val="6FE567D6"/>
    <w:rsid w:val="742B44C5"/>
    <w:rsid w:val="756043C4"/>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字符"/>
    <w:link w:val="2"/>
    <w:semiHidden/>
    <w:qFormat/>
    <w:uiPriority w:val="99"/>
    <w:rPr>
      <w:rFonts w:ascii="Times New Roman" w:hAnsi="Times New Roman"/>
      <w:kern w:val="2"/>
      <w:sz w:val="18"/>
      <w:szCs w:val="18"/>
    </w:rPr>
  </w:style>
  <w:style w:type="character" w:customStyle="1" w:styleId="8">
    <w:name w:val="页脚 字符"/>
    <w:link w:val="3"/>
    <w:qFormat/>
    <w:uiPriority w:val="99"/>
    <w:rPr>
      <w:rFonts w:ascii="Times New Roman" w:hAnsi="Times New Roman" w:eastAsia="宋体" w:cs="Times New Roman"/>
      <w:sz w:val="18"/>
      <w:szCs w:val="18"/>
    </w:rPr>
  </w:style>
  <w:style w:type="character" w:customStyle="1" w:styleId="9">
    <w:name w:val="页眉 字符"/>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6</Pages>
  <Words>359</Words>
  <Characters>2050</Characters>
  <Lines>17</Lines>
  <Paragraphs>4</Paragraphs>
  <TotalTime>63</TotalTime>
  <ScaleCrop>false</ScaleCrop>
  <LinksUpToDate>false</LinksUpToDate>
  <CharactersWithSpaces>2405</CharactersWithSpaces>
  <Application>WPS Office_11.1.0.10337_F1E327BC-269C-435d-A152-05C5408002CA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2021-01-25T02:47:00Z</dcterms:created>
  <dc:creator>[厅办公室][修宗睿]</dc:creator>
  <cp:lastModifiedBy>dell</cp:lastModifiedBy>
  <cp:lastPrinted>2020-04-14T01:56:00Z</cp:lastPrinted>
  <dcterms:modified xsi:type="dcterms:W3CDTF">2021-03-26T06:47:21Z</dcterms:modified>
  <dc:title>河北省财政厅文件</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2052-11.1.0.10337</vt:lpwstr>
  </property>
  <property fmtid="{D5CDD505-2E9C-101B-9397-08002B2CF9AE}" pid="3" name="ICV">
    <vt:lpwstr>A02FAB163472411B8B4DBFED328919F3</vt:lpwstr>
  </property>
</Properties>
</file>