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44" w:rsidRDefault="00592C44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ind w:firstLineChars="200" w:firstLine="440"/>
      </w:pPr>
    </w:p>
    <w:p w:rsidR="00592C44" w:rsidRDefault="00592C44"/>
    <w:p w:rsidR="00592C44" w:rsidRDefault="00FA74EB">
      <w:pPr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sz w:val="72"/>
          <w:szCs w:val="72"/>
        </w:rPr>
        <w:t>唐山国际旅游岛财政局</w:t>
      </w:r>
    </w:p>
    <w:p w:rsidR="00592C44" w:rsidRDefault="00FA74EB">
      <w:pPr>
        <w:jc w:val="center"/>
        <w:rPr>
          <w:rFonts w:eastAsia="方正小标宋_GBK"/>
          <w:sz w:val="72"/>
          <w:szCs w:val="72"/>
        </w:rPr>
      </w:pPr>
      <w:r>
        <w:rPr>
          <w:rFonts w:ascii="Times New Roman" w:eastAsia="方正小标宋_GBK" w:hAnsi="Times New Roman"/>
          <w:sz w:val="72"/>
          <w:szCs w:val="72"/>
        </w:rPr>
        <w:t>202</w:t>
      </w:r>
      <w:r>
        <w:rPr>
          <w:rFonts w:ascii="Times New Roman" w:eastAsia="方正小标宋_GBK" w:hAnsi="Times New Roman" w:hint="eastAsia"/>
          <w:sz w:val="72"/>
          <w:szCs w:val="72"/>
        </w:rPr>
        <w:t>3</w:t>
      </w:r>
      <w:r>
        <w:rPr>
          <w:rFonts w:ascii="Times New Roman" w:eastAsia="方正小标宋_GBK" w:hAnsi="Times New Roman"/>
          <w:sz w:val="72"/>
          <w:szCs w:val="72"/>
        </w:rPr>
        <w:t>年</w:t>
      </w:r>
      <w:r w:rsidR="006239B4">
        <w:rPr>
          <w:rFonts w:eastAsia="方正小标宋_GBK" w:hint="eastAsia"/>
          <w:sz w:val="72"/>
          <w:szCs w:val="72"/>
        </w:rPr>
        <w:t>单位</w:t>
      </w:r>
      <w:r>
        <w:rPr>
          <w:rFonts w:eastAsia="方正小标宋_GBK" w:hint="eastAsia"/>
          <w:sz w:val="72"/>
          <w:szCs w:val="72"/>
        </w:rPr>
        <w:t>预算绩效文本</w:t>
      </w: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jc w:val="center"/>
        <w:rPr>
          <w:rFonts w:eastAsia="方正楷体_GBK"/>
          <w:b/>
          <w:sz w:val="52"/>
        </w:rPr>
      </w:pPr>
    </w:p>
    <w:p w:rsidR="00592C44" w:rsidRDefault="00592C44">
      <w:pPr>
        <w:ind w:firstLineChars="200" w:firstLine="440"/>
        <w:jc w:val="center"/>
        <w:rPr>
          <w:rFonts w:ascii="方正仿宋_GBK" w:eastAsia="方正仿宋_GBK"/>
        </w:rPr>
      </w:pPr>
    </w:p>
    <w:p w:rsidR="00592C44" w:rsidRDefault="00592C44">
      <w:pPr>
        <w:ind w:firstLineChars="200" w:firstLine="440"/>
        <w:jc w:val="center"/>
        <w:rPr>
          <w:rFonts w:ascii="方正仿宋_GBK" w:eastAsia="方正仿宋_GBK"/>
        </w:rPr>
      </w:pPr>
    </w:p>
    <w:p w:rsidR="00592C44" w:rsidRDefault="00592C44">
      <w:pPr>
        <w:jc w:val="both"/>
        <w:rPr>
          <w:rFonts w:ascii="方正仿宋_GBK" w:eastAsia="方正仿宋_GBK"/>
        </w:rPr>
      </w:pPr>
    </w:p>
    <w:p w:rsidR="00592C44" w:rsidRDefault="00592C44">
      <w:pPr>
        <w:ind w:firstLineChars="200" w:firstLine="440"/>
        <w:jc w:val="center"/>
        <w:rPr>
          <w:rFonts w:ascii="方正仿宋_GBK" w:eastAsia="方正仿宋_GBK"/>
        </w:rPr>
      </w:pPr>
    </w:p>
    <w:p w:rsidR="00592C44" w:rsidRDefault="00FA74EB">
      <w:pPr>
        <w:jc w:val="center"/>
        <w:rPr>
          <w:rFonts w:eastAsia="方正楷体_GBK"/>
          <w:b/>
          <w:sz w:val="32"/>
        </w:rPr>
      </w:pPr>
      <w:r>
        <w:rPr>
          <w:rFonts w:eastAsia="方正楷体_GBK" w:hint="eastAsia"/>
          <w:b/>
          <w:sz w:val="32"/>
        </w:rPr>
        <w:t>唐山国际旅游岛财政局编制</w:t>
      </w:r>
    </w:p>
    <w:p w:rsidR="00592C44" w:rsidRDefault="00FA74EB">
      <w:pPr>
        <w:jc w:val="center"/>
        <w:rPr>
          <w:rFonts w:ascii="方正楷体_GBK" w:eastAsia="方正楷体_GBK"/>
          <w:b/>
          <w:sz w:val="32"/>
        </w:rPr>
      </w:pPr>
      <w:r>
        <w:rPr>
          <w:rFonts w:eastAsia="方正楷体_GBK" w:hint="eastAsia"/>
          <w:b/>
          <w:sz w:val="32"/>
        </w:rPr>
        <w:t>河北省财政厅审核</w:t>
      </w:r>
    </w:p>
    <w:p w:rsidR="00592C44" w:rsidRDefault="00592C44">
      <w:pPr>
        <w:spacing w:line="570" w:lineRule="exact"/>
        <w:rPr>
          <w:rFonts w:ascii="黑体" w:eastAsia="黑体" w:hAnsi="黑体" w:cs="黑体" w:hint="eastAsia"/>
          <w:sz w:val="32"/>
          <w:szCs w:val="32"/>
        </w:rPr>
      </w:pPr>
    </w:p>
    <w:p w:rsidR="00B95DEC" w:rsidRDefault="00B95DEC" w:rsidP="00B95DEC">
      <w:pPr>
        <w:pStyle w:val="a0"/>
        <w:rPr>
          <w:rFonts w:hint="eastAsia"/>
        </w:rPr>
      </w:pPr>
    </w:p>
    <w:p w:rsidR="00B95DEC" w:rsidRPr="00B95DEC" w:rsidRDefault="00B95DEC" w:rsidP="00B95DEC">
      <w:pPr>
        <w:pStyle w:val="a0"/>
      </w:pPr>
    </w:p>
    <w:p w:rsidR="00592C44" w:rsidRDefault="00FA74EB">
      <w:pPr>
        <w:numPr>
          <w:ilvl w:val="0"/>
          <w:numId w:val="1"/>
        </w:num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总体绩效目标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依据省委省政府工作部署、部门战略发展规划、年度工作计划与工作要点、部门职责等要求，我局对2023年</w:t>
      </w:r>
      <w:r w:rsidR="006239B4">
        <w:rPr>
          <w:rFonts w:ascii="仿宋" w:eastAsia="仿宋" w:hAnsi="仿宋" w:cs="仿宋" w:hint="eastAsia"/>
          <w:bCs/>
          <w:sz w:val="32"/>
          <w:szCs w:val="32"/>
        </w:rPr>
        <w:t>单位</w:t>
      </w:r>
      <w:r>
        <w:rPr>
          <w:rFonts w:ascii="仿宋" w:eastAsia="仿宋" w:hAnsi="仿宋" w:cs="仿宋" w:hint="eastAsia"/>
          <w:bCs/>
          <w:sz w:val="32"/>
          <w:szCs w:val="32"/>
        </w:rPr>
        <w:t>预算绩效考核目标进行了规划，主要用于完成以下重点工作：</w:t>
      </w:r>
    </w:p>
    <w:p w:rsidR="00592C44" w:rsidRDefault="00FA74EB">
      <w:pPr>
        <w:numPr>
          <w:ilvl w:val="0"/>
          <w:numId w:val="2"/>
        </w:num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提高辖区财务人员素质提升。</w:t>
      </w:r>
    </w:p>
    <w:p w:rsidR="00592C44" w:rsidRDefault="00FA74EB">
      <w:pPr>
        <w:pStyle w:val="a0"/>
        <w:tabs>
          <w:tab w:val="left" w:pos="820"/>
        </w:tabs>
        <w:ind w:firstLineChars="200" w:firstLine="640"/>
      </w:pPr>
      <w:r>
        <w:rPr>
          <w:rFonts w:ascii="仿宋" w:eastAsia="仿宋" w:hAnsi="仿宋" w:cs="仿宋" w:hint="eastAsia"/>
          <w:bCs/>
          <w:sz w:val="32"/>
          <w:szCs w:val="32"/>
        </w:rPr>
        <w:t>(二）采取文本印刷，方便查看，提高工作效率。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(三）进一步提高财政信息化建设及内网维护。</w:t>
      </w:r>
    </w:p>
    <w:p w:rsidR="00592C44" w:rsidRDefault="00FA74EB" w:rsidP="00F47133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(四）委托第三方对预算项目进行评价，提高资金使用效率，减少无效项目占用财政资金。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(五）租赁广联达软件，审核预算项目和决算项目。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(六）采取汽车租赁，解决交通问题，使财政各项业务顺利开展。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(七）加强工程项目决算审计，有效利用项目建设资金，减少不合理工程费用支出。</w:t>
      </w:r>
    </w:p>
    <w:p w:rsidR="00592C44" w:rsidRDefault="00FA74EB">
      <w:pPr>
        <w:shd w:val="solid" w:color="FDFDFD" w:fill="auto"/>
        <w:tabs>
          <w:tab w:val="left" w:pos="820"/>
        </w:tabs>
        <w:autoSpaceDN w:val="0"/>
        <w:spacing w:line="375" w:lineRule="atLeast"/>
        <w:ind w:firstLineChars="200" w:firstLine="640"/>
        <w:rPr>
          <w:rFonts w:ascii="方正仿宋_GBK" w:eastAsia="仿宋" w:hAnsi="方正仿宋_GBK" w:cs="方正仿宋_GBK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(八）办公楼取暖，保障工作正常运转。</w:t>
      </w:r>
    </w:p>
    <w:p w:rsidR="00592C44" w:rsidRDefault="00FA74EB" w:rsidP="00B95DEC">
      <w:pPr>
        <w:spacing w:beforeLines="50" w:afterLines="50" w:line="580" w:lineRule="exact"/>
        <w:ind w:firstLine="62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二、分项绩效目标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（一）辖区财务人员素质提升培训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用于辖区内行政事业单位、企业财务人员素质提升培训。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绩效指标：增强行政事业单位、公司财务人员会计基础业务能力。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（二）文本印刷费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绩效目标：印刷预算文本、绩效文本、人大预算会会议资料等，供市人大、管委会领导审核及财政局各科室工作人员使用。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绩效指标：保证人大初审会正常召开，方便领导审核查看旅游岛2023年预算，便于各科室日常工作使用。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（三）财政信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息化建设及内网维护费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绩效目标：为全区预算部门缴纳财政内网专线租赁费、财政内网防火墙费用，购置设备及机房设备维修维护。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绩效指标：保障全区预算单位工作顺利进行。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（四）预算绩效评价委托费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绩效目标：委托第三方对预算项目进行评定。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绩效指标：提高资金使用效率，促进项目健康长期发展。</w:t>
      </w:r>
    </w:p>
    <w:p w:rsidR="00592C44" w:rsidRDefault="00FA74E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（五）工程项目决算审计及投资评审费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绩效目标：工程项目结算审核与投资评审委托费用</w:t>
      </w:r>
    </w:p>
    <w:p w:rsidR="00592C44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绩效指标：减少项目不合理投入，有效利用项目建设资金。</w:t>
      </w:r>
    </w:p>
    <w:p w:rsidR="00592C44" w:rsidRDefault="00FA74E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（六）广联达软件租赁费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绩效目标：预算项目审核、结算项目审核正常运转。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绩效指标：保证日常工作的正常运转。</w:t>
      </w:r>
    </w:p>
    <w:p w:rsidR="00592C44" w:rsidRDefault="00FA74E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（七）汽车租赁费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绩效目标：在公共交通不便的情况下，积极保障正常工作的开展。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绩效指标：完成租车2辆、节约用车成本、提高工作效率。</w:t>
      </w:r>
    </w:p>
    <w:p w:rsidR="00592C44" w:rsidRDefault="00FA74EB">
      <w:pPr>
        <w:numPr>
          <w:ilvl w:val="0"/>
          <w:numId w:val="3"/>
        </w:num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办公楼取暖</w:t>
      </w:r>
    </w:p>
    <w:p w:rsidR="00592C44" w:rsidRDefault="00FA74EB">
      <w:pPr>
        <w:spacing w:line="580" w:lineRule="exact"/>
        <w:ind w:firstLine="630"/>
      </w:pPr>
      <w:r>
        <w:rPr>
          <w:rFonts w:ascii="仿宋" w:eastAsia="仿宋" w:hAnsi="仿宋" w:cs="仿宋" w:hint="eastAsia"/>
          <w:sz w:val="32"/>
          <w:szCs w:val="32"/>
        </w:rPr>
        <w:t>绩效目标：积极保障正常工作的开展。</w:t>
      </w:r>
    </w:p>
    <w:p w:rsidR="00592C44" w:rsidRDefault="00FA74EB">
      <w:pPr>
        <w:pStyle w:val="a0"/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绩效指标：保证日常工作的正常运转。</w:t>
      </w:r>
    </w:p>
    <w:p w:rsidR="0025210C" w:rsidRPr="0025210C" w:rsidRDefault="0025210C" w:rsidP="0025210C">
      <w:pPr>
        <w:pStyle w:val="a6"/>
        <w:numPr>
          <w:ilvl w:val="0"/>
          <w:numId w:val="4"/>
        </w:numPr>
        <w:spacing w:line="570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25210C">
        <w:rPr>
          <w:rFonts w:ascii="黑体" w:eastAsia="黑体" w:hAnsi="黑体" w:cs="黑体" w:hint="eastAsia"/>
          <w:sz w:val="32"/>
          <w:szCs w:val="32"/>
        </w:rPr>
        <w:t>工作保障措施</w:t>
      </w:r>
    </w:p>
    <w:p w:rsidR="0025210C" w:rsidRPr="0025210C" w:rsidRDefault="0025210C" w:rsidP="0025210C">
      <w:pPr>
        <w:pStyle w:val="a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lang w:eastAsia="uk-UA"/>
        </w:rPr>
        <w:t>1</w:t>
      </w:r>
      <w:r w:rsidRPr="0025210C">
        <w:rPr>
          <w:rFonts w:ascii="仿宋" w:eastAsia="仿宋" w:hAnsi="仿宋" w:cs="仿宋" w:hint="eastAsia"/>
          <w:sz w:val="32"/>
          <w:szCs w:val="32"/>
        </w:rPr>
        <w:t>.为了保障机关正常运转，设备运转良好，我单位指定专人负责办公用品和办公设备购置的工作，严格按照政府采购的要求和标准，严格采购手续；同时，协同各部门加强支出管理，尽量减少耗材消耗，尽量节约开支。</w:t>
      </w:r>
    </w:p>
    <w:p w:rsidR="0025210C" w:rsidRPr="0025210C" w:rsidRDefault="0025210C" w:rsidP="0025210C">
      <w:pPr>
        <w:pStyle w:val="a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5210C">
        <w:rPr>
          <w:rFonts w:ascii="仿宋" w:eastAsia="仿宋" w:hAnsi="仿宋" w:cs="仿宋" w:hint="eastAsia"/>
          <w:sz w:val="32"/>
          <w:szCs w:val="32"/>
        </w:rPr>
        <w:t>2.为了保障办公效率和办公环境，保障设备持续运转，及时支付资金，对各专项支出进行细化，根据实际情况，采取相应措施。</w:t>
      </w:r>
    </w:p>
    <w:p w:rsidR="00592C44" w:rsidRPr="0025210C" w:rsidRDefault="0025210C" w:rsidP="0025210C">
      <w:pPr>
        <w:pStyle w:val="a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5210C">
        <w:rPr>
          <w:rFonts w:ascii="仿宋" w:eastAsia="仿宋" w:hAnsi="仿宋" w:cs="仿宋" w:hint="eastAsia"/>
          <w:sz w:val="32"/>
          <w:szCs w:val="32"/>
        </w:rPr>
        <w:t>3.加强绩效运行监控和绩效自评，各季度预算指标控制在计划内，发现问题及时采取措施，确保绩效目标如期保质实现。</w:t>
      </w:r>
    </w:p>
    <w:p w:rsidR="00BC65BD" w:rsidRDefault="00BC65BD">
      <w:pPr>
        <w:pStyle w:val="a0"/>
        <w:rPr>
          <w:rFonts w:ascii="黑体" w:eastAsia="黑体" w:hAnsi="黑体"/>
          <w:sz w:val="32"/>
          <w:szCs w:val="32"/>
        </w:rPr>
      </w:pPr>
    </w:p>
    <w:p w:rsidR="00592C44" w:rsidRDefault="0025210C">
      <w:pPr>
        <w:pStyle w:val="a0"/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FA74EB">
        <w:rPr>
          <w:rFonts w:ascii="黑体" w:eastAsia="黑体" w:hAnsi="黑体" w:hint="eastAsia"/>
          <w:sz w:val="32"/>
          <w:szCs w:val="32"/>
        </w:rPr>
        <w:t>、专项资金绩效目标表</w:t>
      </w: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1.辖区财务人员素质提升培训专项资金绩效目标表</w:t>
      </w:r>
    </w:p>
    <w:tbl>
      <w:tblPr>
        <w:tblW w:w="8737" w:type="dxa"/>
        <w:tblInd w:w="93" w:type="dxa"/>
        <w:tblLook w:val="04A0"/>
      </w:tblPr>
      <w:tblGrid>
        <w:gridCol w:w="1218"/>
        <w:gridCol w:w="1132"/>
        <w:gridCol w:w="720"/>
        <w:gridCol w:w="923"/>
        <w:gridCol w:w="2351"/>
        <w:gridCol w:w="1130"/>
        <w:gridCol w:w="1263"/>
      </w:tblGrid>
      <w:tr w:rsidR="00592C4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辖区财务人员素质提升培训</w:t>
            </w:r>
          </w:p>
        </w:tc>
      </w:tr>
      <w:tr w:rsidR="00592C44">
        <w:trPr>
          <w:trHeight w:val="89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6万元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用于辖区内行政事业单位、企业财务人员素质提升培训。</w:t>
            </w:r>
          </w:p>
        </w:tc>
      </w:tr>
      <w:tr w:rsidR="00592C44">
        <w:trPr>
          <w:trHeight w:val="52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6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对辖区内单位财务人员进行政策理论及财税业务培训，提升整体水平。</w:t>
            </w:r>
          </w:p>
        </w:tc>
      </w:tr>
      <w:tr w:rsidR="00592C44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对国有企业开展财务决算培训，提升工作能力。</w:t>
            </w:r>
          </w:p>
        </w:tc>
      </w:tr>
      <w:tr w:rsidR="00592C44">
        <w:trPr>
          <w:trHeight w:val="5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08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培训人次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培训人次不低于160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&gt;=160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52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完成时限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6月底完成50%，12月底完成100%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82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培训成本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成本控制在6万元之内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&lt;=6万元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72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素质提升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财务人员业务能力得到提高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26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财务人员业务能力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增强行政事业单位、公司财务人员会计基础业务能力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培训对象满意度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参加培训人员满意度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spacing w:line="220" w:lineRule="atLeast"/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spacing w:line="220" w:lineRule="atLeast"/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spacing w:line="220" w:lineRule="atLeast"/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spacing w:line="2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2.文本印刷费专项资金绩效目标表</w:t>
      </w:r>
    </w:p>
    <w:tbl>
      <w:tblPr>
        <w:tblW w:w="8877" w:type="dxa"/>
        <w:tblInd w:w="93" w:type="dxa"/>
        <w:tblLook w:val="04A0"/>
      </w:tblPr>
      <w:tblGrid>
        <w:gridCol w:w="1220"/>
        <w:gridCol w:w="1216"/>
        <w:gridCol w:w="1302"/>
        <w:gridCol w:w="1020"/>
        <w:gridCol w:w="925"/>
        <w:gridCol w:w="693"/>
        <w:gridCol w:w="839"/>
        <w:gridCol w:w="1662"/>
      </w:tblGrid>
      <w:tr w:rsidR="00592C44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文本印刷费</w:t>
            </w:r>
          </w:p>
        </w:tc>
      </w:tr>
      <w:tr w:rsidR="00592C44">
        <w:trPr>
          <w:trHeight w:val="67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2.7万元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2.7万元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1万元用于印刷预算文本、绩效文本、人大会议资料等。1.5万元用于印刷减税降费宣传材料。0.2万元用于印制政府采购计划备案表。</w:t>
            </w:r>
          </w:p>
        </w:tc>
      </w:tr>
      <w:tr w:rsidR="00592C44">
        <w:trPr>
          <w:trHeight w:val="4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1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按照市人大、市财政局、管委会等上级部门要求，完成预算文本、绩效文本、人大会议资料、减税降费宣传材料的印刷任务；按政府采购管理工作需要印制政府采购计划备案表。</w:t>
            </w:r>
          </w:p>
        </w:tc>
      </w:tr>
      <w:tr w:rsidR="00592C44">
        <w:trPr>
          <w:trHeight w:val="4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19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四个小项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完成预算文本、绩效文本、人大会议资料，减税降费宣传材料，政府采购计划备案表等印刷任务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28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2022年年底前完成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24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印刷费用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印刷费用控制在2.7万元以内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15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印刷质量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无错印漏印，印刷清晰，方便查阅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19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预算人大初审会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保证人大初审会正常召开，方便领导审核查看旅游岛2022年预算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科室人员日常工作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方便各科室工作人员及时查看预算，提高工作效率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工作人员满意度指标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工作人员对预算文本印刷效果的满意度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3.财政信息化建设及内网维护费专项资金绩效目标表</w:t>
      </w:r>
    </w:p>
    <w:tbl>
      <w:tblPr>
        <w:tblW w:w="8838" w:type="dxa"/>
        <w:tblInd w:w="93" w:type="dxa"/>
        <w:tblLayout w:type="fixed"/>
        <w:tblLook w:val="04A0"/>
      </w:tblPr>
      <w:tblGrid>
        <w:gridCol w:w="1265"/>
        <w:gridCol w:w="1411"/>
        <w:gridCol w:w="1292"/>
        <w:gridCol w:w="1185"/>
        <w:gridCol w:w="696"/>
        <w:gridCol w:w="1043"/>
        <w:gridCol w:w="846"/>
        <w:gridCol w:w="1100"/>
      </w:tblGrid>
      <w:tr w:rsidR="00592C44">
        <w:trPr>
          <w:trHeight w:val="5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财政信息化建设及内网维护费</w:t>
            </w:r>
          </w:p>
        </w:tc>
      </w:tr>
      <w:tr w:rsidR="00592C44">
        <w:trPr>
          <w:trHeight w:val="650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5.12万元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5.12万元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32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为全区预算部门缴纳财政内网专线租赁费、财政内网防火墙费用，购置设备及机房设备维修维护。</w:t>
            </w:r>
          </w:p>
        </w:tc>
      </w:tr>
      <w:tr w:rsidR="00592C44">
        <w:trPr>
          <w:trHeight w:val="460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460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579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为全区预算部门缴纳财政内网专线租赁费</w:t>
            </w:r>
          </w:p>
        </w:tc>
      </w:tr>
      <w:tr w:rsidR="00592C44">
        <w:trPr>
          <w:trHeight w:val="563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机房设备维修维护</w:t>
            </w:r>
          </w:p>
        </w:tc>
      </w:tr>
      <w:tr w:rsidR="00592C44">
        <w:trPr>
          <w:trHeight w:val="481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459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134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两个小项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内网专线租赁费、机房设备维修维护费用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31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网络畅通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各预算部门正常使用财政专网、内网，网络畅通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573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2021年年底前完成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427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建设费用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内网专线租赁费3.12万元，机房设备维修维护费用2万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&lt;=5.12万元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31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专网建设，工作效率提高，办事人员满意，提升旅游岛形象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14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内网、专网畅通，各部门开展工作顺利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5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工作人员对内网、专网使用感受满意程度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rPr>
          <w:rFonts w:eastAsia="方正仿宋_GBK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4.预算绩效评价委托费专项资金绩效目标表</w:t>
      </w:r>
    </w:p>
    <w:tbl>
      <w:tblPr>
        <w:tblW w:w="8818" w:type="dxa"/>
        <w:tblInd w:w="93" w:type="dxa"/>
        <w:tblLook w:val="04A0"/>
      </w:tblPr>
      <w:tblGrid>
        <w:gridCol w:w="1544"/>
        <w:gridCol w:w="1137"/>
        <w:gridCol w:w="1616"/>
        <w:gridCol w:w="1221"/>
        <w:gridCol w:w="694"/>
        <w:gridCol w:w="809"/>
        <w:gridCol w:w="738"/>
        <w:gridCol w:w="1059"/>
      </w:tblGrid>
      <w:tr w:rsidR="00592C4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预算绩效评价委托费</w:t>
            </w:r>
          </w:p>
        </w:tc>
      </w:tr>
      <w:tr w:rsidR="00592C44">
        <w:trPr>
          <w:trHeight w:val="7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委托第三方对预算项目进行评定</w:t>
            </w:r>
          </w:p>
        </w:tc>
      </w:tr>
      <w:tr w:rsidR="00592C44">
        <w:trPr>
          <w:trHeight w:val="5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5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项目绩效评估</w:t>
            </w:r>
          </w:p>
        </w:tc>
      </w:tr>
      <w:tr w:rsidR="00592C4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部门绩效评估</w:t>
            </w:r>
          </w:p>
        </w:tc>
      </w:tr>
      <w:tr w:rsidR="00592C44">
        <w:trPr>
          <w:trHeight w:val="5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59"/>
        </w:trPr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评价项目个数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评价项目个数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05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2021年年底完成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06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93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评价报告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评价报告内容详实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9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资金使用效率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提高资金使用效率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提升旅游岛形象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旅游岛发展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促进旅游岛长期健康发展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评价双方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评价双方满意度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5.广联达软件租赁费专项资金绩效目标表</w:t>
      </w:r>
    </w:p>
    <w:tbl>
      <w:tblPr>
        <w:tblW w:w="8818" w:type="dxa"/>
        <w:tblInd w:w="93" w:type="dxa"/>
        <w:tblLook w:val="04A0"/>
      </w:tblPr>
      <w:tblGrid>
        <w:gridCol w:w="1548"/>
        <w:gridCol w:w="1053"/>
        <w:gridCol w:w="1398"/>
        <w:gridCol w:w="1257"/>
        <w:gridCol w:w="694"/>
        <w:gridCol w:w="809"/>
        <w:gridCol w:w="875"/>
        <w:gridCol w:w="1184"/>
      </w:tblGrid>
      <w:tr w:rsidR="00592C44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广联达软件租赁费</w:t>
            </w:r>
          </w:p>
        </w:tc>
      </w:tr>
      <w:tr w:rsidR="00592C44">
        <w:trPr>
          <w:trHeight w:val="76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2.2万元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5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预算项目审核、结算项目审核正常运转</w:t>
            </w:r>
          </w:p>
        </w:tc>
      </w:tr>
      <w:tr w:rsidR="00592C44">
        <w:trPr>
          <w:trHeight w:val="56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正常使用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软件全年正常运转、升级等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2022年3月底完成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使用时间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全年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全部6把单机锁租赁费用2.2万元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3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工程项目结算审核、预算审核必要的专业软件，保证日常工作的正常运转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3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工程项目审核是工程建设必要环节，高效完成此工作以提高旅游岛形象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工作人员对软件使用满意度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spacing w:line="220" w:lineRule="atLeast"/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6.汽车租赁费专项资金绩效目标表</w:t>
      </w:r>
    </w:p>
    <w:tbl>
      <w:tblPr>
        <w:tblW w:w="8838" w:type="dxa"/>
        <w:tblInd w:w="93" w:type="dxa"/>
        <w:tblLook w:val="04A0"/>
      </w:tblPr>
      <w:tblGrid>
        <w:gridCol w:w="1523"/>
        <w:gridCol w:w="1156"/>
        <w:gridCol w:w="1386"/>
        <w:gridCol w:w="1236"/>
        <w:gridCol w:w="696"/>
        <w:gridCol w:w="812"/>
        <w:gridCol w:w="870"/>
        <w:gridCol w:w="1159"/>
      </w:tblGrid>
      <w:tr w:rsidR="00592C44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汽车租赁费</w:t>
            </w:r>
          </w:p>
        </w:tc>
      </w:tr>
      <w:tr w:rsidR="00592C44">
        <w:trPr>
          <w:trHeight w:val="8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9万元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在公共交通不便的情况下，积极保障正常工作的开展</w:t>
            </w:r>
          </w:p>
        </w:tc>
      </w:tr>
      <w:tr w:rsidR="00592C44">
        <w:trPr>
          <w:trHeight w:val="5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8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3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解决日常工作中的交通问题</w:t>
            </w:r>
          </w:p>
        </w:tc>
      </w:tr>
      <w:tr w:rsidR="00592C44">
        <w:trPr>
          <w:trHeight w:val="60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0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租赁车辆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租用车辆2辆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=2辆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日常工作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保证日常工作正常运转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2021年12月前完成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成本控制在9万元之内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遵规守纪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严格执行公务用车标准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高效完成财政工作用车，保障工作顺利进行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0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保证工作人员满意度达到95%以上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7.工程项目决算审计及投资评审费专项资金绩效目标表</w:t>
      </w:r>
    </w:p>
    <w:tbl>
      <w:tblPr>
        <w:tblW w:w="8759" w:type="dxa"/>
        <w:tblInd w:w="93" w:type="dxa"/>
        <w:tblLook w:val="04A0"/>
      </w:tblPr>
      <w:tblGrid>
        <w:gridCol w:w="2024"/>
        <w:gridCol w:w="1616"/>
        <w:gridCol w:w="1816"/>
        <w:gridCol w:w="1622"/>
        <w:gridCol w:w="690"/>
        <w:gridCol w:w="805"/>
        <w:gridCol w:w="819"/>
        <w:gridCol w:w="1622"/>
      </w:tblGrid>
      <w:tr w:rsidR="00592C44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lastRenderedPageBreak/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工程项目决算审计及投资评审费</w:t>
            </w:r>
          </w:p>
        </w:tc>
      </w:tr>
      <w:tr w:rsidR="00592C44">
        <w:trPr>
          <w:trHeight w:val="73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80万元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工程项目结算审核与投资评审委托费用</w:t>
            </w:r>
          </w:p>
        </w:tc>
      </w:tr>
      <w:tr w:rsidR="00592C44">
        <w:trPr>
          <w:trHeight w:val="5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5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工程项目结算审计</w:t>
            </w:r>
          </w:p>
        </w:tc>
      </w:tr>
      <w:tr w:rsidR="00592C4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工程项目预算评审</w:t>
            </w:r>
          </w:p>
        </w:tc>
      </w:tr>
      <w:tr w:rsidR="00592C44">
        <w:trPr>
          <w:trHeight w:val="5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2"/>
        </w:trPr>
        <w:tc>
          <w:tcPr>
            <w:tcW w:w="1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预算审核项目数量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按年初工作安排按时完成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00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结算审核项目数量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完成5项结算审核项目的委托审核工作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44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2022年内完成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34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费用支出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34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所有审核项目保质保量完成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节约资金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减少项目不合理投入，提高资金使用效率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良好发展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合理支出工程费用，优化资金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参与各方满意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相互沟通交流，尽善尽美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spacing w:line="220" w:lineRule="atLeast"/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pStyle w:val="a0"/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8.办公楼取暖专项资金绩效目标表</w:t>
      </w:r>
    </w:p>
    <w:tbl>
      <w:tblPr>
        <w:tblW w:w="8838" w:type="dxa"/>
        <w:tblInd w:w="93" w:type="dxa"/>
        <w:tblLook w:val="04A0"/>
      </w:tblPr>
      <w:tblGrid>
        <w:gridCol w:w="1523"/>
        <w:gridCol w:w="1156"/>
        <w:gridCol w:w="1386"/>
        <w:gridCol w:w="1236"/>
        <w:gridCol w:w="696"/>
        <w:gridCol w:w="812"/>
        <w:gridCol w:w="870"/>
        <w:gridCol w:w="1159"/>
      </w:tblGrid>
      <w:tr w:rsidR="00592C44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汽车租赁费</w:t>
            </w:r>
          </w:p>
        </w:tc>
      </w:tr>
      <w:tr w:rsidR="00592C44">
        <w:trPr>
          <w:trHeight w:val="8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1.32万元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1.32万元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在公共交通不便的情况下，积极保障正常工作的开展</w:t>
            </w:r>
          </w:p>
        </w:tc>
      </w:tr>
      <w:tr w:rsidR="00592C44">
        <w:trPr>
          <w:trHeight w:val="5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8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3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解决日常工作中的交通问题</w:t>
            </w:r>
          </w:p>
        </w:tc>
      </w:tr>
      <w:tr w:rsidR="00592C44">
        <w:trPr>
          <w:trHeight w:val="60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0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租赁车辆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租用车辆2辆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=2辆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日常工作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保证日常工作正常运转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2021年12月前完成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成本控制在9万元之内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遵规守纪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严格执行公务用车标准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高效完成财政工作用车，保障工作顺利进行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0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保证工作人员满意度达到95%以上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pStyle w:val="a0"/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spacing w:line="220" w:lineRule="atLeast"/>
      </w:pPr>
    </w:p>
    <w:sectPr w:rsidR="00592C44" w:rsidSect="0059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8C" w:rsidRDefault="001C6D8C" w:rsidP="00592C44">
      <w:pPr>
        <w:spacing w:after="0"/>
      </w:pPr>
      <w:r>
        <w:separator/>
      </w:r>
    </w:p>
  </w:endnote>
  <w:endnote w:type="continuationSeparator" w:id="1">
    <w:p w:rsidR="001C6D8C" w:rsidRDefault="001C6D8C" w:rsidP="00592C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EC" w:rsidRDefault="00B95D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EC" w:rsidRDefault="00B95DE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EC" w:rsidRDefault="00B95D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8C" w:rsidRDefault="001C6D8C">
      <w:pPr>
        <w:spacing w:after="0"/>
      </w:pPr>
      <w:r>
        <w:separator/>
      </w:r>
    </w:p>
  </w:footnote>
  <w:footnote w:type="continuationSeparator" w:id="1">
    <w:p w:rsidR="001C6D8C" w:rsidRDefault="001C6D8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EC" w:rsidRDefault="00B95D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33" w:rsidRDefault="00F47133" w:rsidP="00B95DE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EC" w:rsidRDefault="00B95D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2DDFF"/>
    <w:multiLevelType w:val="singleLevel"/>
    <w:tmpl w:val="8732DDFF"/>
    <w:lvl w:ilvl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40D10B4F"/>
    <w:multiLevelType w:val="singleLevel"/>
    <w:tmpl w:val="40D10B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C6F42E"/>
    <w:multiLevelType w:val="singleLevel"/>
    <w:tmpl w:val="47C6F42E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5E75029"/>
    <w:multiLevelType w:val="hybridMultilevel"/>
    <w:tmpl w:val="F4DE94A4"/>
    <w:lvl w:ilvl="0" w:tplc="ECCE51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YTVjMTZlZjQ0MDI0MzZmNmZiZDI4NmFjYjQ5NzljODYifQ=="/>
  </w:docVars>
  <w:rsids>
    <w:rsidRoot w:val="00D31D50"/>
    <w:rsid w:val="001220A2"/>
    <w:rsid w:val="00134CC8"/>
    <w:rsid w:val="0015091A"/>
    <w:rsid w:val="00185520"/>
    <w:rsid w:val="001C6D8C"/>
    <w:rsid w:val="00234676"/>
    <w:rsid w:val="0025210C"/>
    <w:rsid w:val="00277857"/>
    <w:rsid w:val="00297568"/>
    <w:rsid w:val="002C16BF"/>
    <w:rsid w:val="002C5B4D"/>
    <w:rsid w:val="00323B43"/>
    <w:rsid w:val="00364CD9"/>
    <w:rsid w:val="003D37D8"/>
    <w:rsid w:val="00426133"/>
    <w:rsid w:val="004358AB"/>
    <w:rsid w:val="0046393D"/>
    <w:rsid w:val="00491BB3"/>
    <w:rsid w:val="004A291F"/>
    <w:rsid w:val="004E6C35"/>
    <w:rsid w:val="00502E6A"/>
    <w:rsid w:val="005157DA"/>
    <w:rsid w:val="00537D72"/>
    <w:rsid w:val="00592C44"/>
    <w:rsid w:val="006239B4"/>
    <w:rsid w:val="0068259E"/>
    <w:rsid w:val="00684776"/>
    <w:rsid w:val="006E0541"/>
    <w:rsid w:val="0072441E"/>
    <w:rsid w:val="008B7726"/>
    <w:rsid w:val="008B775A"/>
    <w:rsid w:val="008B7FCF"/>
    <w:rsid w:val="008F5275"/>
    <w:rsid w:val="0091587B"/>
    <w:rsid w:val="009407CA"/>
    <w:rsid w:val="00950E10"/>
    <w:rsid w:val="00951455"/>
    <w:rsid w:val="009B4C01"/>
    <w:rsid w:val="00B24063"/>
    <w:rsid w:val="00B81C03"/>
    <w:rsid w:val="00B95DEC"/>
    <w:rsid w:val="00BC65BD"/>
    <w:rsid w:val="00C435B8"/>
    <w:rsid w:val="00CF7EB4"/>
    <w:rsid w:val="00D31D50"/>
    <w:rsid w:val="00DD30E5"/>
    <w:rsid w:val="00DF0F0E"/>
    <w:rsid w:val="00E854D7"/>
    <w:rsid w:val="00E965D4"/>
    <w:rsid w:val="00EC0A01"/>
    <w:rsid w:val="00EE16B5"/>
    <w:rsid w:val="00EE4BE0"/>
    <w:rsid w:val="00F10393"/>
    <w:rsid w:val="00F47133"/>
    <w:rsid w:val="00FA74EB"/>
    <w:rsid w:val="01E11F13"/>
    <w:rsid w:val="063D4CBA"/>
    <w:rsid w:val="0B5A0120"/>
    <w:rsid w:val="0DBB03B4"/>
    <w:rsid w:val="0DE24D8D"/>
    <w:rsid w:val="0E2D582B"/>
    <w:rsid w:val="14F357E2"/>
    <w:rsid w:val="17FB4AEE"/>
    <w:rsid w:val="1FDA0220"/>
    <w:rsid w:val="2415200F"/>
    <w:rsid w:val="25A90276"/>
    <w:rsid w:val="26192BF6"/>
    <w:rsid w:val="26624BDF"/>
    <w:rsid w:val="266A1731"/>
    <w:rsid w:val="26D11D7B"/>
    <w:rsid w:val="28C07157"/>
    <w:rsid w:val="29CA4EE2"/>
    <w:rsid w:val="2B242C6C"/>
    <w:rsid w:val="2C7F36D0"/>
    <w:rsid w:val="350922F7"/>
    <w:rsid w:val="36CE77A9"/>
    <w:rsid w:val="49EC224C"/>
    <w:rsid w:val="4A940EEE"/>
    <w:rsid w:val="54A925F1"/>
    <w:rsid w:val="58F85F62"/>
    <w:rsid w:val="59AD11E5"/>
    <w:rsid w:val="5C0624E0"/>
    <w:rsid w:val="5CBA1D36"/>
    <w:rsid w:val="612734CF"/>
    <w:rsid w:val="675768C8"/>
    <w:rsid w:val="6BC83388"/>
    <w:rsid w:val="6F454EB6"/>
    <w:rsid w:val="71335DA6"/>
    <w:rsid w:val="724D406F"/>
    <w:rsid w:val="74970FA4"/>
    <w:rsid w:val="7A334E5D"/>
    <w:rsid w:val="7C946677"/>
    <w:rsid w:val="7CC60D35"/>
    <w:rsid w:val="7D201823"/>
    <w:rsid w:val="7DE1489D"/>
    <w:rsid w:val="7ED7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2C4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592C44"/>
  </w:style>
  <w:style w:type="paragraph" w:styleId="a4">
    <w:name w:val="footer"/>
    <w:basedOn w:val="a"/>
    <w:link w:val="Char0"/>
    <w:uiPriority w:val="99"/>
    <w:semiHidden/>
    <w:unhideWhenUsed/>
    <w:qFormat/>
    <w:rsid w:val="00592C4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92C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qFormat/>
    <w:rsid w:val="00592C44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592C44"/>
    <w:rPr>
      <w:rFonts w:ascii="Tahoma" w:hAnsi="Tahoma"/>
      <w:sz w:val="18"/>
      <w:szCs w:val="18"/>
    </w:rPr>
  </w:style>
  <w:style w:type="character" w:customStyle="1" w:styleId="Char">
    <w:name w:val="正文文本 Char"/>
    <w:basedOn w:val="a1"/>
    <w:link w:val="a0"/>
    <w:rsid w:val="0025210C"/>
    <w:rPr>
      <w:rFonts w:ascii="Tahoma" w:eastAsia="微软雅黑" w:hAnsi="Tahoma" w:cstheme="minorBidi"/>
      <w:sz w:val="22"/>
      <w:szCs w:val="22"/>
    </w:rPr>
  </w:style>
  <w:style w:type="paragraph" w:styleId="a6">
    <w:name w:val="List Paragraph"/>
    <w:basedOn w:val="a"/>
    <w:uiPriority w:val="99"/>
    <w:unhideWhenUsed/>
    <w:rsid w:val="002521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759</Words>
  <Characters>4329</Characters>
  <Application>Microsoft Office Word</Application>
  <DocSecurity>0</DocSecurity>
  <Lines>36</Lines>
  <Paragraphs>10</Paragraphs>
  <ScaleCrop>false</ScaleCrop>
  <Company>china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2008-09-11T17:20:00Z</dcterms:created>
  <dcterms:modified xsi:type="dcterms:W3CDTF">2024-08-16T03:27:00Z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D34C9EEFB5134365831DB3E21412C65F</vt:lpwstr>
  </property>
</Properties>
</file>