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b/>
          <w:bCs/>
          <w:color w:val="333333"/>
          <w:sz w:val="44"/>
          <w:szCs w:val="44"/>
        </w:rPr>
      </w:pPr>
      <w:r>
        <w:rPr>
          <w:rFonts w:hint="eastAsia" w:ascii="宋体" w:hAnsi="宋体" w:eastAsia="宋体" w:cs="宋体"/>
          <w:b/>
          <w:bCs/>
          <w:color w:val="333333"/>
          <w:sz w:val="44"/>
          <w:szCs w:val="44"/>
        </w:rPr>
        <w:t>2021河北省旅游发展资金（文创产品进景区）项目支出绩效评价报告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widowControl/>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333333"/>
          <w:sz w:val="32"/>
          <w:szCs w:val="32"/>
        </w:rPr>
      </w:pPr>
      <w:r>
        <w:rPr>
          <w:rFonts w:hint="eastAsia" w:ascii="楷体_GB2312" w:hAnsi="楷体_GB2312" w:eastAsia="楷体_GB2312" w:cs="楷体_GB2312"/>
          <w:color w:val="333333"/>
          <w:sz w:val="32"/>
          <w:szCs w:val="32"/>
        </w:rPr>
        <w:t>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根据《中华人民共和国预算法》、《中共唐山市委唐山市人民政府关于全面实施预算绩效管理的实施意见》等有关规定，</w:t>
      </w:r>
      <w:r>
        <w:rPr>
          <w:rFonts w:hint="eastAsia" w:ascii="仿宋_GB2312" w:hAnsi="仿宋_GB2312" w:eastAsia="仿宋_GB2312" w:cs="仿宋_GB2312"/>
          <w:color w:val="000000"/>
          <w:sz w:val="32"/>
          <w:szCs w:val="32"/>
          <w:shd w:val="clear" w:color="auto" w:fill="FFFFFF"/>
          <w:lang w:bidi="ar"/>
        </w:rPr>
        <w:t>结合我局实际</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sz w:val="32"/>
          <w:szCs w:val="32"/>
        </w:rPr>
        <w:t>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年绩效评价推进工作，加强我</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顺利实现</w:t>
      </w:r>
      <w:r>
        <w:rPr>
          <w:rFonts w:hint="eastAsia" w:ascii="仿宋_GB2312" w:hAnsi="仿宋_GB2312" w:eastAsia="仿宋_GB2312" w:cs="仿宋_GB2312"/>
          <w:sz w:val="32"/>
          <w:szCs w:val="32"/>
        </w:rPr>
        <w:t>绩效评价工作，加快唐山国际旅游岛旅游业发展，推动旅游业创新,加快文化旅游融合发展，</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旅游</w:t>
      </w:r>
      <w:r>
        <w:rPr>
          <w:rFonts w:hint="eastAsia" w:ascii="仿宋_GB2312" w:hAnsi="仿宋_GB2312" w:eastAsia="仿宋_GB2312" w:cs="仿宋_GB2312"/>
          <w:sz w:val="32"/>
          <w:szCs w:val="32"/>
          <w:lang w:eastAsia="zh-CN"/>
        </w:rPr>
        <w:t>服务设施，我局积极推动我区</w:t>
      </w:r>
      <w:r>
        <w:rPr>
          <w:rFonts w:hint="eastAsia" w:ascii="仿宋_GB2312" w:hAnsi="仿宋_GB2312" w:eastAsia="仿宋_GB2312" w:cs="仿宋_GB2312"/>
          <w:sz w:val="32"/>
          <w:szCs w:val="32"/>
          <w:lang w:val="en-US" w:eastAsia="zh-CN"/>
        </w:rPr>
        <w:t>4A级景区文创产品购物店的建设提升</w:t>
      </w:r>
      <w:r>
        <w:rPr>
          <w:rFonts w:hint="eastAsia" w:ascii="仿宋_GB2312" w:hAnsi="仿宋_GB2312" w:eastAsia="仿宋_GB2312" w:cs="仿宋_GB2312"/>
          <w:sz w:val="32"/>
          <w:szCs w:val="32"/>
          <w:lang w:eastAsia="zh-CN"/>
        </w:rPr>
        <w:t>工作，宣传河北省内各地的文创产品，带动当地土特产销量，增加游客游玩体验，完善景区的公共服务设施</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2021河北省旅游发展资金（文创产品进景区）主要用于</w:t>
      </w:r>
      <w:r>
        <w:rPr>
          <w:rFonts w:hint="eastAsia" w:ascii="仿宋_GB2312" w:hAnsi="仿宋_GB2312" w:eastAsia="仿宋_GB2312" w:cs="仿宋_GB2312"/>
          <w:sz w:val="32"/>
          <w:szCs w:val="32"/>
          <w:lang w:eastAsia="zh-CN"/>
        </w:rPr>
        <w:t>我区两家</w:t>
      </w:r>
      <w:r>
        <w:rPr>
          <w:rFonts w:hint="eastAsia" w:ascii="仿宋_GB2312" w:hAnsi="仿宋_GB2312" w:eastAsia="仿宋_GB2312" w:cs="仿宋_GB2312"/>
          <w:sz w:val="32"/>
          <w:szCs w:val="32"/>
          <w:lang w:val="en-US" w:eastAsia="zh-CN"/>
        </w:rPr>
        <w:t>4A级景区建设提升文创产品购物店</w:t>
      </w:r>
      <w:r>
        <w:rPr>
          <w:rFonts w:hint="eastAsia" w:ascii="仿宋_GB2312" w:hAnsi="仿宋_GB2312" w:eastAsia="仿宋_GB2312" w:cs="仿宋_GB2312"/>
          <w:sz w:val="32"/>
          <w:szCs w:val="32"/>
          <w:lang w:eastAsia="zh-CN"/>
        </w:rPr>
        <w:t>，增加景区新亮点，打开文化和旅游融合新局面，进一步完善我区公共服务</w:t>
      </w:r>
      <w:bookmarkStart w:id="0" w:name="_GoBack"/>
      <w:bookmarkEnd w:id="0"/>
      <w:r>
        <w:rPr>
          <w:rFonts w:hint="eastAsia" w:ascii="仿宋_GB2312" w:hAnsi="仿宋_GB2312" w:eastAsia="仿宋_GB2312" w:cs="仿宋_GB2312"/>
          <w:sz w:val="32"/>
          <w:szCs w:val="32"/>
          <w:lang w:eastAsia="zh-CN"/>
        </w:rPr>
        <w:t>设施，专款专用，按要求补助两家</w:t>
      </w:r>
      <w:r>
        <w:rPr>
          <w:rFonts w:hint="eastAsia" w:ascii="仿宋_GB2312" w:hAnsi="仿宋_GB2312" w:eastAsia="仿宋_GB2312" w:cs="仿宋_GB2312"/>
          <w:sz w:val="32"/>
          <w:szCs w:val="32"/>
          <w:lang w:val="en-US" w:eastAsia="zh-CN"/>
        </w:rPr>
        <w:t>4A级</w:t>
      </w:r>
      <w:r>
        <w:rPr>
          <w:rFonts w:hint="eastAsia" w:ascii="仿宋_GB2312" w:hAnsi="仿宋_GB2312" w:eastAsia="仿宋_GB2312" w:cs="仿宋_GB2312"/>
          <w:sz w:val="32"/>
          <w:szCs w:val="32"/>
          <w:lang w:eastAsia="zh-CN"/>
        </w:rPr>
        <w:t>景区相关企业单位，提高资金使用效益。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本部门为实现绩效评价工作，我局成立评价小组并安排专门人员负责20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唐山国际旅游岛文化广电和旅游局主要职责是统筹协调旅游业发展，推动唐山国际旅游岛整体形象及旅游品牌体系建设，</w:t>
      </w:r>
      <w:r>
        <w:rPr>
          <w:rFonts w:hint="eastAsia" w:ascii="仿宋_GB2312" w:hAnsi="仿宋_GB2312" w:eastAsia="仿宋_GB2312" w:cs="仿宋_GB2312"/>
          <w:sz w:val="32"/>
          <w:szCs w:val="32"/>
          <w:lang w:eastAsia="zh-CN"/>
        </w:rPr>
        <w:t>督导相关单位按时完成项目建设，及时发放补助资金，保障资金使用有效</w:t>
      </w:r>
      <w:r>
        <w:rPr>
          <w:rFonts w:hint="eastAsia" w:ascii="仿宋_GB2312" w:hAnsi="仿宋_GB2312" w:eastAsia="仿宋_GB2312" w:cs="仿宋_GB2312"/>
          <w:sz w:val="32"/>
          <w:szCs w:val="32"/>
        </w:rPr>
        <w:t>使用。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2021河北省旅游发展资金（文创产品进景区）的</w:t>
      </w:r>
      <w:r>
        <w:rPr>
          <w:rFonts w:hint="eastAsia" w:ascii="仿宋_GB2312" w:hAnsi="仿宋_GB2312" w:eastAsia="仿宋_GB2312" w:cs="仿宋_GB2312"/>
          <w:sz w:val="32"/>
          <w:szCs w:val="32"/>
        </w:rPr>
        <w:t>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仿宋_GB2312" w:hAnsi="仿宋_GB2312" w:eastAsia="仿宋_GB2312" w:cs="仿宋_GB2312"/>
          <w:sz w:val="32"/>
          <w:szCs w:val="32"/>
          <w:lang w:eastAsia="zh-CN"/>
        </w:rPr>
        <w:t>健全了我区公共服务设施，</w:t>
      </w:r>
      <w:r>
        <w:rPr>
          <w:rFonts w:hint="eastAsia" w:ascii="仿宋_GB2312" w:hAnsi="仿宋_GB2312" w:eastAsia="仿宋_GB2312" w:cs="仿宋_GB2312"/>
          <w:sz w:val="32"/>
          <w:szCs w:val="32"/>
        </w:rPr>
        <w:t>促进了我区旅游业的发展。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按照财政支出绩效评价指标体系评分标准，2021河北省旅游发展资金（文创产品进景区）</w:t>
      </w:r>
      <w:r>
        <w:rPr>
          <w:rFonts w:hint="eastAsia" w:ascii="仿宋_GB2312" w:hAnsi="仿宋_GB2312" w:eastAsia="仿宋_GB2312" w:cs="仿宋_GB2312"/>
          <w:sz w:val="32"/>
          <w:szCs w:val="32"/>
          <w:lang w:eastAsia="zh-CN"/>
        </w:rPr>
        <w:t>的资金</w:t>
      </w:r>
      <w:r>
        <w:rPr>
          <w:rFonts w:hint="eastAsia" w:ascii="仿宋_GB2312" w:hAnsi="仿宋_GB2312" w:eastAsia="仿宋_GB2312" w:cs="仿宋_GB2312"/>
          <w:sz w:val="32"/>
          <w:szCs w:val="32"/>
        </w:rPr>
        <w:t>使用情况</w:t>
      </w:r>
      <w:r>
        <w:rPr>
          <w:rFonts w:hint="eastAsia" w:ascii="仿宋_GB2312" w:hAnsi="仿宋_GB2312" w:eastAsia="仿宋_GB2312" w:cs="仿宋_GB2312"/>
          <w:sz w:val="32"/>
          <w:szCs w:val="32"/>
          <w:lang w:val="en-US" w:eastAsia="zh-CN"/>
        </w:rPr>
        <w:t>较</w:t>
      </w:r>
      <w:r>
        <w:rPr>
          <w:rFonts w:hint="eastAsia" w:ascii="仿宋_GB2312" w:hAnsi="仿宋_GB2312" w:eastAsia="仿宋_GB2312" w:cs="仿宋_GB2312"/>
          <w:sz w:val="32"/>
          <w:szCs w:val="32"/>
        </w:rPr>
        <w:t>好，无超范围使用或其他不当情形，共</w:t>
      </w:r>
      <w:r>
        <w:rPr>
          <w:rFonts w:hint="eastAsia" w:ascii="仿宋_GB2312" w:hAnsi="仿宋_GB2312" w:eastAsia="仿宋_GB2312" w:cs="仿宋_GB2312"/>
          <w:sz w:val="32"/>
          <w:szCs w:val="32"/>
          <w:lang w:val="en-US" w:eastAsia="zh-CN"/>
        </w:rPr>
        <w:t>97</w:t>
      </w:r>
      <w:r>
        <w:rPr>
          <w:rFonts w:hint="eastAsia" w:ascii="仿宋_GB2312" w:hAnsi="仿宋_GB2312" w:eastAsia="仿宋_GB2312" w:cs="仿宋_GB2312"/>
          <w:sz w:val="32"/>
          <w:szCs w:val="32"/>
        </w:rPr>
        <w:t>分，拟自评等级为</w:t>
      </w:r>
      <w:r>
        <w:rPr>
          <w:rFonts w:hint="eastAsia" w:ascii="仿宋_GB2312" w:hAnsi="仿宋_GB2312" w:eastAsia="仿宋_GB2312" w:cs="仿宋_GB2312"/>
          <w:sz w:val="32"/>
          <w:szCs w:val="32"/>
          <w:lang w:eastAsia="zh-CN"/>
        </w:rPr>
        <w:t>优</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tbl>
      <w:tblPr>
        <w:tblStyle w:val="4"/>
        <w:tblpPr w:leftFromText="180" w:rightFromText="180" w:vertAnchor="text" w:tblpXSpec="center" w:tblpY="1"/>
        <w:tblOverlap w:val="never"/>
        <w:tblW w:w="9080" w:type="dxa"/>
        <w:jc w:val="center"/>
        <w:tblLayout w:type="fixed"/>
        <w:tblCellMar>
          <w:top w:w="0" w:type="dxa"/>
          <w:left w:w="108" w:type="dxa"/>
          <w:bottom w:w="0" w:type="dxa"/>
          <w:right w:w="108" w:type="dxa"/>
        </w:tblCellMar>
      </w:tblPr>
      <w:tblGrid>
        <w:gridCol w:w="588"/>
        <w:gridCol w:w="980"/>
        <w:gridCol w:w="1112"/>
        <w:gridCol w:w="546"/>
        <w:gridCol w:w="1318"/>
        <w:gridCol w:w="527"/>
        <w:gridCol w:w="719"/>
        <w:gridCol w:w="1202"/>
        <w:gridCol w:w="529"/>
        <w:gridCol w:w="567"/>
        <w:gridCol w:w="284"/>
        <w:gridCol w:w="708"/>
      </w:tblGrid>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643" w:firstLineChars="200"/>
              <w:jc w:val="center"/>
              <w:textAlignment w:val="auto"/>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40" w:firstLineChars="200"/>
              <w:jc w:val="center"/>
              <w:textAlignment w:val="auto"/>
              <w:rPr>
                <w:rFonts w:hint="eastAsia" w:ascii="宋体" w:hAnsi="宋体" w:eastAsia="宋体" w:cs="宋体"/>
                <w:kern w:val="0"/>
                <w:sz w:val="22"/>
                <w:szCs w:val="22"/>
              </w:rPr>
            </w:pPr>
            <w:r>
              <w:rPr>
                <w:rFonts w:hint="eastAsia" w:ascii="宋体" w:hAnsi="宋体" w:eastAsia="宋体" w:cs="宋体"/>
                <w:kern w:val="0"/>
                <w:sz w:val="22"/>
                <w:szCs w:val="22"/>
              </w:rPr>
              <w:t>（ 20</w:t>
            </w:r>
            <w:r>
              <w:rPr>
                <w:rFonts w:hint="eastAsia" w:ascii="宋体" w:hAnsi="宋体" w:eastAsia="宋体" w:cs="宋体"/>
                <w:kern w:val="0"/>
                <w:sz w:val="22"/>
                <w:szCs w:val="22"/>
                <w:lang w:val="en-US" w:eastAsia="zh-CN"/>
              </w:rPr>
              <w:t xml:space="preserve">22 </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2021河北省旅游发展资金（文创产品进景区）</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2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上年结转资金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57"/>
              </w:tabs>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9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其他资金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0" w:hRule="atLeas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00" w:firstLineChars="200"/>
              <w:jc w:val="center"/>
              <w:textAlignment w:val="auto"/>
              <w:rPr>
                <w:rFonts w:hint="eastAsia" w:ascii="宋体" w:hAnsi="宋体" w:eastAsia="宋体" w:cs="宋体"/>
                <w:kern w:val="0"/>
                <w:szCs w:val="21"/>
              </w:rPr>
            </w:pPr>
            <w:r>
              <w:rPr>
                <w:rFonts w:hint="eastAsia" w:ascii="宋体" w:hAnsi="宋体" w:eastAsia="宋体" w:cs="宋体"/>
                <w:b w:val="0"/>
                <w:bCs w:val="0"/>
                <w:color w:val="000000"/>
                <w:sz w:val="20"/>
                <w:szCs w:val="20"/>
                <w:lang w:eastAsia="zh-CN"/>
              </w:rPr>
              <w:t>专项用于补助A级景区</w:t>
            </w:r>
            <w:r>
              <w:rPr>
                <w:rFonts w:hint="eastAsia" w:ascii="宋体" w:hAnsi="宋体" w:cs="宋体"/>
                <w:b w:val="0"/>
                <w:bCs w:val="0"/>
                <w:color w:val="000000"/>
                <w:sz w:val="20"/>
                <w:szCs w:val="20"/>
                <w:lang w:eastAsia="zh-CN"/>
              </w:rPr>
              <w:t>文创产品进景区活动建设提升的购物店</w:t>
            </w:r>
            <w:r>
              <w:rPr>
                <w:rFonts w:hint="eastAsia" w:ascii="宋体" w:hAnsi="宋体" w:eastAsia="宋体" w:cs="宋体"/>
                <w:b w:val="0"/>
                <w:bCs w:val="0"/>
                <w:color w:val="000000"/>
                <w:sz w:val="20"/>
                <w:szCs w:val="20"/>
                <w:lang w:eastAsia="zh-CN"/>
              </w:rPr>
              <w:t>。</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20" w:firstLineChars="200"/>
              <w:jc w:val="center"/>
              <w:textAlignment w:val="auto"/>
              <w:rPr>
                <w:rFonts w:hint="eastAsia" w:ascii="宋体" w:hAnsi="宋体" w:eastAsia="宋体" w:cs="宋体"/>
                <w:kern w:val="0"/>
                <w:szCs w:val="21"/>
                <w:lang w:eastAsia="zh-CN"/>
              </w:rPr>
            </w:pPr>
            <w:r>
              <w:rPr>
                <w:rFonts w:hint="eastAsia" w:ascii="宋体" w:hAnsi="宋体" w:eastAsia="宋体" w:cs="宋体"/>
                <w:kern w:val="0"/>
                <w:szCs w:val="21"/>
                <w:lang w:eastAsia="zh-CN"/>
              </w:rPr>
              <w:t>已补助相关项目单位。</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年度指标值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补助文创店</w:t>
            </w:r>
            <w:r>
              <w:rPr>
                <w:rFonts w:hint="eastAsia" w:ascii="宋体" w:hAnsi="宋体" w:eastAsia="宋体" w:cs="宋体"/>
                <w:b w:val="0"/>
                <w:bCs w:val="0"/>
                <w:color w:val="000000"/>
                <w:sz w:val="20"/>
                <w:szCs w:val="20"/>
                <w:lang w:eastAsia="zh-CN"/>
              </w:rPr>
              <w:t>数量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cs="宋体"/>
                <w:b w:val="0"/>
                <w:bCs w:val="0"/>
                <w:color w:val="000000"/>
                <w:sz w:val="20"/>
                <w:szCs w:val="20"/>
                <w:lang w:val="en-US" w:eastAsia="zh-CN"/>
              </w:rPr>
              <w:t>≤2</w:t>
            </w:r>
            <w:r>
              <w:rPr>
                <w:rFonts w:hint="eastAsia" w:ascii="宋体" w:hAnsi="宋体" w:eastAsia="宋体" w:cs="宋体"/>
                <w:b w:val="0"/>
                <w:bCs w:val="0"/>
                <w:color w:val="000000"/>
                <w:sz w:val="20"/>
                <w:szCs w:val="20"/>
                <w:lang w:val="en-US" w:eastAsia="zh-CN"/>
              </w:rPr>
              <w:t>家</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补助</w:t>
            </w:r>
            <w:r>
              <w:rPr>
                <w:rFonts w:hint="eastAsia" w:ascii="宋体" w:hAnsi="宋体" w:cs="宋体"/>
                <w:kern w:val="0"/>
                <w:sz w:val="18"/>
                <w:szCs w:val="18"/>
                <w:lang w:eastAsia="zh-CN"/>
              </w:rPr>
              <w:t>文创店</w:t>
            </w:r>
            <w:r>
              <w:rPr>
                <w:rFonts w:hint="eastAsia" w:ascii="宋体" w:hAnsi="宋体" w:cs="宋体"/>
                <w:kern w:val="0"/>
                <w:sz w:val="18"/>
                <w:szCs w:val="18"/>
                <w:lang w:val="en-US" w:eastAsia="zh-CN"/>
              </w:rPr>
              <w:t>2家</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val="en-US" w:eastAsia="zh-CN"/>
              </w:rPr>
              <w:t>文创店创建验收</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20"/>
                <w:szCs w:val="20"/>
                <w:lang w:bidi="ar"/>
              </w:rPr>
              <w:t>完成时间</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20"/>
                <w:szCs w:val="20"/>
                <w:lang w:eastAsia="zh-CN"/>
              </w:rPr>
              <w:t>补助金额</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6</w:t>
            </w:r>
            <w:r>
              <w:rPr>
                <w:rFonts w:hint="eastAsia" w:ascii="宋体" w:hAnsi="宋体" w:eastAsia="宋体" w:cs="宋体"/>
                <w:kern w:val="0"/>
                <w:sz w:val="18"/>
                <w:szCs w:val="18"/>
              </w:rPr>
              <w:t>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6</w:t>
            </w:r>
            <w:r>
              <w:rPr>
                <w:rFonts w:hint="eastAsia" w:ascii="宋体" w:hAnsi="宋体" w:eastAsia="宋体" w:cs="宋体"/>
                <w:kern w:val="0"/>
                <w:sz w:val="18"/>
                <w:szCs w:val="18"/>
                <w:lang w:val="en-US" w:eastAsia="zh-CN"/>
              </w:rPr>
              <w:t>万元</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增加景区收入</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增加</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增加</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18"/>
                <w:szCs w:val="18"/>
              </w:rPr>
              <w:t>引起良好的社会反响</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生态效益指标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sz w:val="20"/>
                <w:szCs w:val="20"/>
              </w:rPr>
              <w:t>游客满意度</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97</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bl>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年度项目立项依据充分、程序合规、项目资金使用计划可行、审批手续齐全。我局在制定</w:t>
      </w:r>
      <w:r>
        <w:rPr>
          <w:rFonts w:hint="eastAsia" w:ascii="仿宋_GB2312" w:hAnsi="仿宋_GB2312" w:eastAsia="仿宋_GB2312" w:cs="仿宋_GB2312"/>
          <w:sz w:val="32"/>
          <w:szCs w:val="32"/>
          <w:lang w:val="en-US" w:eastAsia="zh-CN"/>
        </w:rPr>
        <w:t>2021河北省旅游发展资金（文创产品进景区）的资金</w:t>
      </w:r>
      <w:r>
        <w:rPr>
          <w:rFonts w:hint="eastAsia" w:ascii="仿宋_GB2312" w:hAnsi="仿宋_GB2312" w:eastAsia="仿宋_GB2312" w:cs="仿宋_GB2312"/>
          <w:sz w:val="32"/>
          <w:szCs w:val="32"/>
        </w:rPr>
        <w:t>预算时，明确了旅游发展工作思路、发展目标和工作任务等。但少数项目未达到预期设定的目标值。项目决策指标</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项目产出指标实际完成情况基本达到了预期设定的目标值，产出指标的完成情况较好项目产出指标分值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通过项目实施，旅游业发展得到提升，项目</w:t>
      </w:r>
      <w:r>
        <w:rPr>
          <w:rFonts w:hint="eastAsia" w:ascii="仿宋_GB2312" w:hAnsi="仿宋_GB2312" w:eastAsia="仿宋_GB2312" w:cs="仿宋_GB2312"/>
          <w:sz w:val="32"/>
          <w:szCs w:val="32"/>
          <w:lang w:eastAsia="zh-CN"/>
        </w:rPr>
        <w:t>经济效益、</w:t>
      </w:r>
      <w:r>
        <w:rPr>
          <w:rFonts w:hint="eastAsia" w:ascii="仿宋_GB2312" w:hAnsi="仿宋_GB2312" w:eastAsia="仿宋_GB2312" w:cs="仿宋_GB2312"/>
          <w:sz w:val="32"/>
          <w:szCs w:val="32"/>
        </w:rPr>
        <w:t>社会效益显著，游客满意度9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%以上。项目效果指标分值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专项资金管理水平有待提高，绩效目标的完成与预期的略有偏离。项目绩效管理制度不够完善。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hint="eastAsia" w:ascii="仿宋_GB2312" w:hAnsi="仿宋_GB2312" w:eastAsia="仿宋_GB2312" w:cs="仿宋_GB2312"/>
          <w:color w:val="000000"/>
          <w:kern w:val="0"/>
          <w:sz w:val="32"/>
          <w:szCs w:val="32"/>
          <w:shd w:val="clear" w:color="auto" w:fill="FFFFFF"/>
          <w:lang w:eastAsia="zh-CN" w:bidi="ar"/>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4YTRiZGQwYmE1MTIzZjlmZWY2NWU4YzY5ZDgyMTIifQ=="/>
  </w:docVars>
  <w:rsids>
    <w:rsidRoot w:val="00000000"/>
    <w:rsid w:val="004D6899"/>
    <w:rsid w:val="005E0AA6"/>
    <w:rsid w:val="012C1F65"/>
    <w:rsid w:val="01722330"/>
    <w:rsid w:val="017B2F92"/>
    <w:rsid w:val="017D4F82"/>
    <w:rsid w:val="021D673F"/>
    <w:rsid w:val="023C563D"/>
    <w:rsid w:val="02FE3E7B"/>
    <w:rsid w:val="03675EC4"/>
    <w:rsid w:val="03685798"/>
    <w:rsid w:val="03A31E0D"/>
    <w:rsid w:val="03E5503B"/>
    <w:rsid w:val="04854128"/>
    <w:rsid w:val="04A60962"/>
    <w:rsid w:val="04EB48D3"/>
    <w:rsid w:val="052F2A11"/>
    <w:rsid w:val="054F4E62"/>
    <w:rsid w:val="05F23A3F"/>
    <w:rsid w:val="06224324"/>
    <w:rsid w:val="065F11F5"/>
    <w:rsid w:val="06695AAF"/>
    <w:rsid w:val="06782196"/>
    <w:rsid w:val="06796BDA"/>
    <w:rsid w:val="06C57D74"/>
    <w:rsid w:val="07630750"/>
    <w:rsid w:val="07C02047"/>
    <w:rsid w:val="07C03DF5"/>
    <w:rsid w:val="08283748"/>
    <w:rsid w:val="08865D16"/>
    <w:rsid w:val="08907C6B"/>
    <w:rsid w:val="096B7D90"/>
    <w:rsid w:val="09945539"/>
    <w:rsid w:val="09DB4F16"/>
    <w:rsid w:val="0A3003B8"/>
    <w:rsid w:val="0A370ED4"/>
    <w:rsid w:val="0A884A5E"/>
    <w:rsid w:val="0A984BB5"/>
    <w:rsid w:val="0AC41E4E"/>
    <w:rsid w:val="0B0B1186"/>
    <w:rsid w:val="0B4D3BF1"/>
    <w:rsid w:val="0BE107DE"/>
    <w:rsid w:val="0BE1258C"/>
    <w:rsid w:val="0C676F35"/>
    <w:rsid w:val="0CBD6B55"/>
    <w:rsid w:val="0D240982"/>
    <w:rsid w:val="0D29727C"/>
    <w:rsid w:val="0D732BFC"/>
    <w:rsid w:val="0DF869C5"/>
    <w:rsid w:val="0E1C78AB"/>
    <w:rsid w:val="0E7C47EE"/>
    <w:rsid w:val="0EAB2494"/>
    <w:rsid w:val="0F0A3BA7"/>
    <w:rsid w:val="0F9D7B0A"/>
    <w:rsid w:val="0FBA3368"/>
    <w:rsid w:val="0FE37E68"/>
    <w:rsid w:val="10A36062"/>
    <w:rsid w:val="10FC5772"/>
    <w:rsid w:val="11EE5A02"/>
    <w:rsid w:val="12E7492B"/>
    <w:rsid w:val="13423A92"/>
    <w:rsid w:val="139F5206"/>
    <w:rsid w:val="14B922F8"/>
    <w:rsid w:val="14EA4839"/>
    <w:rsid w:val="150A4901"/>
    <w:rsid w:val="15F5110D"/>
    <w:rsid w:val="161672D6"/>
    <w:rsid w:val="163559AE"/>
    <w:rsid w:val="164F5D48"/>
    <w:rsid w:val="165A5414"/>
    <w:rsid w:val="16C33F5E"/>
    <w:rsid w:val="16C75851"/>
    <w:rsid w:val="1871170C"/>
    <w:rsid w:val="19410B0E"/>
    <w:rsid w:val="19C72DC1"/>
    <w:rsid w:val="1A9D32A1"/>
    <w:rsid w:val="1AB858FC"/>
    <w:rsid w:val="1B1B7007"/>
    <w:rsid w:val="1B2D3FA1"/>
    <w:rsid w:val="1BBE1FA1"/>
    <w:rsid w:val="1BC47C12"/>
    <w:rsid w:val="1C0D4CD7"/>
    <w:rsid w:val="1C8256C5"/>
    <w:rsid w:val="1CE7185E"/>
    <w:rsid w:val="1D1A58FD"/>
    <w:rsid w:val="1D4A222A"/>
    <w:rsid w:val="1D855EE1"/>
    <w:rsid w:val="1DCD72CE"/>
    <w:rsid w:val="1E276524"/>
    <w:rsid w:val="1E401394"/>
    <w:rsid w:val="1E734D0E"/>
    <w:rsid w:val="1F6C682F"/>
    <w:rsid w:val="1FAF3F98"/>
    <w:rsid w:val="1FC102B2"/>
    <w:rsid w:val="20AA35DC"/>
    <w:rsid w:val="20AE6A88"/>
    <w:rsid w:val="20CE712B"/>
    <w:rsid w:val="20FD356C"/>
    <w:rsid w:val="21117017"/>
    <w:rsid w:val="21D355A1"/>
    <w:rsid w:val="21E14C3C"/>
    <w:rsid w:val="22E31A52"/>
    <w:rsid w:val="23C2284B"/>
    <w:rsid w:val="24262DDA"/>
    <w:rsid w:val="247F065B"/>
    <w:rsid w:val="24A50210"/>
    <w:rsid w:val="24D17434"/>
    <w:rsid w:val="25592D3B"/>
    <w:rsid w:val="25DC06EA"/>
    <w:rsid w:val="261D1FBA"/>
    <w:rsid w:val="26773DC1"/>
    <w:rsid w:val="26A83F7A"/>
    <w:rsid w:val="26C62652"/>
    <w:rsid w:val="27007912"/>
    <w:rsid w:val="274E2D73"/>
    <w:rsid w:val="281F64BE"/>
    <w:rsid w:val="2835183D"/>
    <w:rsid w:val="286914E7"/>
    <w:rsid w:val="28B92995"/>
    <w:rsid w:val="294F4B81"/>
    <w:rsid w:val="296A19BB"/>
    <w:rsid w:val="29B6075C"/>
    <w:rsid w:val="29BB1F4B"/>
    <w:rsid w:val="29F6324E"/>
    <w:rsid w:val="2B0379D1"/>
    <w:rsid w:val="2B2838DB"/>
    <w:rsid w:val="2BCE4483"/>
    <w:rsid w:val="2C057779"/>
    <w:rsid w:val="2C3562B0"/>
    <w:rsid w:val="2D145EC5"/>
    <w:rsid w:val="2D4E2D58"/>
    <w:rsid w:val="2D656721"/>
    <w:rsid w:val="2D720E3E"/>
    <w:rsid w:val="2E224612"/>
    <w:rsid w:val="2E96672A"/>
    <w:rsid w:val="2EF545EB"/>
    <w:rsid w:val="2F0361F1"/>
    <w:rsid w:val="2F6B1FE9"/>
    <w:rsid w:val="2F745341"/>
    <w:rsid w:val="2FCC6F2B"/>
    <w:rsid w:val="2FDB3827"/>
    <w:rsid w:val="2FE36023"/>
    <w:rsid w:val="2FF376C5"/>
    <w:rsid w:val="30890C03"/>
    <w:rsid w:val="31350B00"/>
    <w:rsid w:val="31576CC8"/>
    <w:rsid w:val="31D71BB7"/>
    <w:rsid w:val="32DA195F"/>
    <w:rsid w:val="332B5D17"/>
    <w:rsid w:val="333E5614"/>
    <w:rsid w:val="33561DF6"/>
    <w:rsid w:val="339D5FEB"/>
    <w:rsid w:val="33AD0E22"/>
    <w:rsid w:val="34727975"/>
    <w:rsid w:val="34EC3BCC"/>
    <w:rsid w:val="35170C48"/>
    <w:rsid w:val="35301D0A"/>
    <w:rsid w:val="35BB5A78"/>
    <w:rsid w:val="35C15A46"/>
    <w:rsid w:val="363B2715"/>
    <w:rsid w:val="36C070BE"/>
    <w:rsid w:val="37824373"/>
    <w:rsid w:val="37CD1A92"/>
    <w:rsid w:val="383218F5"/>
    <w:rsid w:val="383E029A"/>
    <w:rsid w:val="38F44DFD"/>
    <w:rsid w:val="390E5AFB"/>
    <w:rsid w:val="392E6561"/>
    <w:rsid w:val="39513FFD"/>
    <w:rsid w:val="396E5A71"/>
    <w:rsid w:val="3A1F40FB"/>
    <w:rsid w:val="3A6B53FF"/>
    <w:rsid w:val="3AC70A1B"/>
    <w:rsid w:val="3B043A1D"/>
    <w:rsid w:val="3C335C3C"/>
    <w:rsid w:val="3CAD3C40"/>
    <w:rsid w:val="3D9170BE"/>
    <w:rsid w:val="3E4337AD"/>
    <w:rsid w:val="3E594080"/>
    <w:rsid w:val="3F1E4982"/>
    <w:rsid w:val="3F8720D4"/>
    <w:rsid w:val="3FB13A48"/>
    <w:rsid w:val="403F1053"/>
    <w:rsid w:val="415E19AD"/>
    <w:rsid w:val="41F540C0"/>
    <w:rsid w:val="42A31D6D"/>
    <w:rsid w:val="42B555FD"/>
    <w:rsid w:val="42C323FF"/>
    <w:rsid w:val="4392593E"/>
    <w:rsid w:val="439B0C97"/>
    <w:rsid w:val="43E75C8A"/>
    <w:rsid w:val="44867251"/>
    <w:rsid w:val="44924FB5"/>
    <w:rsid w:val="44BC61B9"/>
    <w:rsid w:val="44C10289"/>
    <w:rsid w:val="44C166F5"/>
    <w:rsid w:val="44E64193"/>
    <w:rsid w:val="45140D01"/>
    <w:rsid w:val="45C75D73"/>
    <w:rsid w:val="46026DAB"/>
    <w:rsid w:val="461D5759"/>
    <w:rsid w:val="46237415"/>
    <w:rsid w:val="462F1B6A"/>
    <w:rsid w:val="46487C41"/>
    <w:rsid w:val="466C0A37"/>
    <w:rsid w:val="46C04A60"/>
    <w:rsid w:val="47484C91"/>
    <w:rsid w:val="47C17169"/>
    <w:rsid w:val="47C307BC"/>
    <w:rsid w:val="495E079C"/>
    <w:rsid w:val="496A2D5C"/>
    <w:rsid w:val="498E6BA8"/>
    <w:rsid w:val="49BE748D"/>
    <w:rsid w:val="4A77763C"/>
    <w:rsid w:val="4A842484"/>
    <w:rsid w:val="4B6E0A3F"/>
    <w:rsid w:val="4B831C8E"/>
    <w:rsid w:val="4BF60011"/>
    <w:rsid w:val="4C353DCC"/>
    <w:rsid w:val="4D0478AD"/>
    <w:rsid w:val="4D267823"/>
    <w:rsid w:val="4DF96CE5"/>
    <w:rsid w:val="4F035942"/>
    <w:rsid w:val="4F813436"/>
    <w:rsid w:val="50256815"/>
    <w:rsid w:val="508458B2"/>
    <w:rsid w:val="51331174"/>
    <w:rsid w:val="518E1E3B"/>
    <w:rsid w:val="51EE5378"/>
    <w:rsid w:val="530C3017"/>
    <w:rsid w:val="53456529"/>
    <w:rsid w:val="54634273"/>
    <w:rsid w:val="551E43D5"/>
    <w:rsid w:val="5520610D"/>
    <w:rsid w:val="556C4241"/>
    <w:rsid w:val="55872E29"/>
    <w:rsid w:val="55BF0815"/>
    <w:rsid w:val="55DD0C9B"/>
    <w:rsid w:val="562C577E"/>
    <w:rsid w:val="56867584"/>
    <w:rsid w:val="56A63783"/>
    <w:rsid w:val="56E542AB"/>
    <w:rsid w:val="573E2CD0"/>
    <w:rsid w:val="57C06AC6"/>
    <w:rsid w:val="5A2450EA"/>
    <w:rsid w:val="5A6E45B7"/>
    <w:rsid w:val="5AB50438"/>
    <w:rsid w:val="5AF745AD"/>
    <w:rsid w:val="5B0A2ABB"/>
    <w:rsid w:val="5B312070"/>
    <w:rsid w:val="5B4D0671"/>
    <w:rsid w:val="5B5F2152"/>
    <w:rsid w:val="5B811D24"/>
    <w:rsid w:val="5BC56459"/>
    <w:rsid w:val="5BC72FA1"/>
    <w:rsid w:val="5BDF513B"/>
    <w:rsid w:val="5C471564"/>
    <w:rsid w:val="5D8B36D2"/>
    <w:rsid w:val="5D995DEF"/>
    <w:rsid w:val="5E457D25"/>
    <w:rsid w:val="5ED13367"/>
    <w:rsid w:val="5EF17565"/>
    <w:rsid w:val="5EF96E68"/>
    <w:rsid w:val="5F182D44"/>
    <w:rsid w:val="5F3C4C84"/>
    <w:rsid w:val="5F6B7317"/>
    <w:rsid w:val="60032F94"/>
    <w:rsid w:val="60AF1486"/>
    <w:rsid w:val="618B1EF3"/>
    <w:rsid w:val="61CD6067"/>
    <w:rsid w:val="62394678"/>
    <w:rsid w:val="632C670F"/>
    <w:rsid w:val="639A641D"/>
    <w:rsid w:val="63EA73A4"/>
    <w:rsid w:val="64131F01"/>
    <w:rsid w:val="644E3B55"/>
    <w:rsid w:val="646F78AA"/>
    <w:rsid w:val="64F34037"/>
    <w:rsid w:val="657C227E"/>
    <w:rsid w:val="66807ADF"/>
    <w:rsid w:val="670F0ED0"/>
    <w:rsid w:val="67144738"/>
    <w:rsid w:val="680734FE"/>
    <w:rsid w:val="68212C69"/>
    <w:rsid w:val="68680898"/>
    <w:rsid w:val="69496A19"/>
    <w:rsid w:val="69C77840"/>
    <w:rsid w:val="69CA3513"/>
    <w:rsid w:val="69F94B37"/>
    <w:rsid w:val="6AEC45AB"/>
    <w:rsid w:val="6B8C6F93"/>
    <w:rsid w:val="6B9A5701"/>
    <w:rsid w:val="6BB805D1"/>
    <w:rsid w:val="6BF02721"/>
    <w:rsid w:val="6C4B6506"/>
    <w:rsid w:val="6CE36CAF"/>
    <w:rsid w:val="6D371181"/>
    <w:rsid w:val="6DBE53FE"/>
    <w:rsid w:val="6DEA1D4F"/>
    <w:rsid w:val="6DEE7A91"/>
    <w:rsid w:val="6E217E67"/>
    <w:rsid w:val="6E41277D"/>
    <w:rsid w:val="6E7C32EF"/>
    <w:rsid w:val="6E846A1F"/>
    <w:rsid w:val="6F0357BE"/>
    <w:rsid w:val="702F4391"/>
    <w:rsid w:val="704850BB"/>
    <w:rsid w:val="704C6CF1"/>
    <w:rsid w:val="70701516"/>
    <w:rsid w:val="708A15C7"/>
    <w:rsid w:val="70F21646"/>
    <w:rsid w:val="71810C1C"/>
    <w:rsid w:val="71BB0FD3"/>
    <w:rsid w:val="722556AB"/>
    <w:rsid w:val="725B321B"/>
    <w:rsid w:val="72671BC0"/>
    <w:rsid w:val="729A1F96"/>
    <w:rsid w:val="729D55E2"/>
    <w:rsid w:val="72BA7F05"/>
    <w:rsid w:val="733E6DC5"/>
    <w:rsid w:val="734B7734"/>
    <w:rsid w:val="73685544"/>
    <w:rsid w:val="738D5656"/>
    <w:rsid w:val="73BE7F06"/>
    <w:rsid w:val="74251D33"/>
    <w:rsid w:val="74324450"/>
    <w:rsid w:val="747D5833"/>
    <w:rsid w:val="74FD05BA"/>
    <w:rsid w:val="75267B11"/>
    <w:rsid w:val="755521A4"/>
    <w:rsid w:val="75D44E18"/>
    <w:rsid w:val="786646C8"/>
    <w:rsid w:val="78E57CE3"/>
    <w:rsid w:val="7923101C"/>
    <w:rsid w:val="79422511"/>
    <w:rsid w:val="79B17BC5"/>
    <w:rsid w:val="7A2A28FE"/>
    <w:rsid w:val="7A6D4434"/>
    <w:rsid w:val="7AAA04B1"/>
    <w:rsid w:val="7ADF741C"/>
    <w:rsid w:val="7B5F5B2A"/>
    <w:rsid w:val="7BC260B9"/>
    <w:rsid w:val="7C0641F8"/>
    <w:rsid w:val="7C5800CE"/>
    <w:rsid w:val="7C911AF3"/>
    <w:rsid w:val="7CF653C4"/>
    <w:rsid w:val="7D917A20"/>
    <w:rsid w:val="7DB54128"/>
    <w:rsid w:val="7DE60785"/>
    <w:rsid w:val="7E5C27F5"/>
    <w:rsid w:val="7ECA59B1"/>
    <w:rsid w:val="7EDF27E5"/>
    <w:rsid w:val="7EE31342"/>
    <w:rsid w:val="7EF26CB5"/>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2439</Words>
  <Characters>2507</Characters>
  <Lines>0</Lines>
  <Paragraphs>0</Paragraphs>
  <TotalTime>18</TotalTime>
  <ScaleCrop>false</ScaleCrop>
  <LinksUpToDate>false</LinksUpToDate>
  <CharactersWithSpaces>2513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2023-03-06T06:12:40Z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58D29492F9404381966DFA3A56BACCB6</vt:lpwstr>
  </property>
</Properties>
</file>