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Arial" w:hAnsi="Arial" w:cs="Arial"/>
          <w:b/>
          <w:bCs/>
          <w:color w:val="333333"/>
          <w:sz w:val="44"/>
          <w:szCs w:val="44"/>
        </w:rPr>
      </w:pPr>
      <w:r>
        <w:rPr>
          <w:rFonts w:hint="eastAsia" w:ascii="Arial" w:hAnsi="Arial" w:cs="Arial"/>
          <w:b/>
          <w:bCs/>
          <w:color w:val="333333"/>
          <w:sz w:val="44"/>
          <w:szCs w:val="44"/>
        </w:rPr>
        <w:t>2020年中央旅游发展基金补助地方项目</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Arial" w:hAnsi="Arial" w:cs="Arial"/>
          <w:b/>
          <w:bCs/>
          <w:color w:val="333333"/>
          <w:sz w:val="44"/>
          <w:szCs w:val="44"/>
        </w:rPr>
      </w:pPr>
      <w:r>
        <w:rPr>
          <w:rFonts w:hint="eastAsia" w:ascii="Arial" w:hAnsi="Arial" w:cs="Arial"/>
          <w:b/>
          <w:bCs/>
          <w:color w:val="333333"/>
          <w:sz w:val="44"/>
          <w:szCs w:val="44"/>
        </w:rPr>
        <w:t>资金支出绩效评价报告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基本情况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Arial"/>
          <w:color w:val="333333"/>
          <w:sz w:val="32"/>
          <w:szCs w:val="32"/>
        </w:rPr>
      </w:pPr>
      <w:r>
        <w:rPr>
          <w:rFonts w:hint="eastAsia" w:ascii="仿宋" w:hAnsi="仿宋" w:eastAsia="仿宋" w:cs="Arial"/>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 w:hAnsi="仿宋" w:eastAsia="仿宋" w:cs="仿宋"/>
          <w:sz w:val="32"/>
          <w:szCs w:val="32"/>
        </w:rPr>
        <w:t>根据《中华人民共和国预算法》、《中共唐山市委唐山市人民政府关于全面实施预算绩效管理的实施意见》等有关规定，</w:t>
      </w:r>
      <w:r>
        <w:rPr>
          <w:rFonts w:hint="eastAsia" w:ascii="仿宋" w:hAnsi="仿宋" w:eastAsia="仿宋" w:cs="仿宋"/>
          <w:color w:val="000000"/>
          <w:sz w:val="32"/>
          <w:szCs w:val="32"/>
          <w:shd w:val="clear" w:color="auto" w:fill="FFFFFF"/>
          <w:lang w:bidi="ar"/>
        </w:rPr>
        <w:t>结合我局实际</w:t>
      </w:r>
      <w:r>
        <w:rPr>
          <w:rFonts w:hint="eastAsia" w:ascii="仿宋" w:hAnsi="仿宋" w:eastAsia="仿宋" w:cs="仿宋"/>
          <w:color w:val="333333"/>
          <w:sz w:val="32"/>
          <w:szCs w:val="32"/>
        </w:rPr>
        <w:t>，</w:t>
      </w:r>
      <w:r>
        <w:rPr>
          <w:rFonts w:hint="eastAsia" w:ascii="仿宋_GB2312" w:eastAsia="仿宋_GB2312"/>
          <w:sz w:val="32"/>
          <w:szCs w:val="32"/>
        </w:rPr>
        <w:t>我局成立评价小组并安排专门人员负责20</w:t>
      </w:r>
      <w:r>
        <w:rPr>
          <w:rFonts w:hint="eastAsia" w:ascii="仿宋_GB2312" w:eastAsia="仿宋_GB2312"/>
          <w:sz w:val="32"/>
          <w:szCs w:val="32"/>
          <w:lang w:val="en-US" w:eastAsia="zh-CN"/>
        </w:rPr>
        <w:t>22</w:t>
      </w:r>
      <w:r>
        <w:rPr>
          <w:rFonts w:hint="eastAsia" w:ascii="仿宋_GB2312" w:eastAsia="仿宋_GB2312"/>
          <w:sz w:val="32"/>
          <w:szCs w:val="32"/>
        </w:rPr>
        <w:t>年绩效评价推进工作，加强我</w:t>
      </w:r>
      <w:r>
        <w:rPr>
          <w:rFonts w:hint="eastAsia" w:ascii="仿宋_GB2312" w:eastAsia="仿宋_GB2312"/>
          <w:sz w:val="32"/>
          <w:szCs w:val="32"/>
          <w:lang w:eastAsia="zh-CN"/>
        </w:rPr>
        <w:t>局</w:t>
      </w:r>
      <w:r>
        <w:rPr>
          <w:rFonts w:hint="eastAsia" w:ascii="仿宋_GB2312" w:eastAsia="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为</w:t>
      </w:r>
      <w:r>
        <w:rPr>
          <w:rFonts w:hint="eastAsia" w:ascii="仿宋" w:hAnsi="仿宋" w:eastAsia="仿宋" w:cs="仿宋"/>
          <w:sz w:val="32"/>
          <w:szCs w:val="32"/>
          <w:lang w:eastAsia="zh-CN"/>
        </w:rPr>
        <w:t>顺利实现</w:t>
      </w:r>
      <w:r>
        <w:rPr>
          <w:rFonts w:hint="eastAsia" w:ascii="仿宋" w:hAnsi="仿宋" w:eastAsia="仿宋" w:cs="仿宋"/>
          <w:sz w:val="32"/>
          <w:szCs w:val="32"/>
        </w:rPr>
        <w:t>绩效评价工作，加快唐山国际旅游岛旅游业发展，推动旅游业创新,加快文化旅游融合发展，强化旅游宣传营销</w:t>
      </w:r>
      <w:r>
        <w:rPr>
          <w:rFonts w:hint="eastAsia" w:ascii="仿宋" w:hAnsi="仿宋" w:eastAsia="仿宋" w:cs="仿宋"/>
          <w:sz w:val="32"/>
          <w:szCs w:val="32"/>
          <w:lang w:eastAsia="zh-CN"/>
        </w:rPr>
        <w:t>，我局积极推动我区旅游厕所建设工作，改善游客如厕难问题，完善我区公共服务设施</w:t>
      </w:r>
      <w:r>
        <w:rPr>
          <w:rFonts w:hint="eastAsia" w:ascii="仿宋" w:hAnsi="仿宋" w:eastAsia="仿宋" w:cs="仿宋"/>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2020年中央旅游发展基金补助地方项目资金主要用于</w:t>
      </w:r>
      <w:r>
        <w:rPr>
          <w:rFonts w:hint="eastAsia" w:ascii="仿宋" w:hAnsi="仿宋" w:eastAsia="仿宋" w:cs="仿宋"/>
          <w:sz w:val="32"/>
          <w:szCs w:val="32"/>
          <w:lang w:eastAsia="zh-CN"/>
        </w:rPr>
        <w:t>我区旅游厕所的补助项目，进一步完善我区公共服务服务设施，</w:t>
      </w:r>
      <w:r>
        <w:rPr>
          <w:rFonts w:hint="eastAsia" w:ascii="仿宋_GB2312" w:hAnsi="仿宋_GB2312" w:eastAsia="仿宋_GB2312" w:cs="仿宋_GB2312"/>
          <w:sz w:val="32"/>
          <w:szCs w:val="32"/>
          <w:lang w:eastAsia="zh-CN"/>
        </w:rPr>
        <w:t>专款专用，按要求补助企业单位，提高资金使用效益</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本部门为实现绩效评价工作，我局成立评价小组并安排专门人员负责20</w:t>
      </w:r>
      <w:r>
        <w:rPr>
          <w:rFonts w:hint="eastAsia" w:ascii="仿宋" w:hAnsi="仿宋" w:eastAsia="仿宋" w:cs="仿宋"/>
          <w:sz w:val="32"/>
          <w:szCs w:val="32"/>
          <w:lang w:val="en-US" w:eastAsia="zh-CN"/>
        </w:rPr>
        <w:t>22</w:t>
      </w:r>
      <w:r>
        <w:rPr>
          <w:rFonts w:hint="eastAsia" w:ascii="仿宋" w:hAnsi="仿宋" w:eastAsia="仿宋" w:cs="仿宋"/>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唐山国际旅游岛文化广电和旅游局主要职责是统筹协调旅游业发展，推动唐山国际旅游岛整体形象及旅游品牌体系建设，</w:t>
      </w:r>
      <w:r>
        <w:rPr>
          <w:rFonts w:hint="eastAsia" w:ascii="仿宋" w:hAnsi="仿宋" w:eastAsia="仿宋" w:cs="仿宋"/>
          <w:sz w:val="32"/>
          <w:szCs w:val="32"/>
          <w:lang w:eastAsia="zh-CN"/>
        </w:rPr>
        <w:t>督导相关单位按时完成项目建设，及时发放补助资金，保障资金使用有效</w:t>
      </w:r>
      <w:r>
        <w:rPr>
          <w:rFonts w:hint="eastAsia" w:ascii="仿宋" w:hAnsi="仿宋" w:eastAsia="仿宋" w:cs="仿宋"/>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2020年中央旅游发展基金补助地方项目</w:t>
      </w:r>
      <w:r>
        <w:rPr>
          <w:rFonts w:ascii="仿宋" w:hAnsi="仿宋" w:eastAsia="仿宋" w:cs="仿宋"/>
          <w:sz w:val="32"/>
          <w:szCs w:val="32"/>
        </w:rPr>
        <w:t>的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 w:hAnsi="仿宋" w:eastAsia="仿宋" w:cs="仿宋"/>
          <w:sz w:val="32"/>
          <w:szCs w:val="32"/>
          <w:lang w:eastAsia="zh-CN"/>
        </w:rPr>
        <w:t>健全了我区公共服务设施，</w:t>
      </w:r>
      <w:r>
        <w:rPr>
          <w:rFonts w:ascii="仿宋" w:hAnsi="仿宋" w:eastAsia="仿宋" w:cs="仿宋"/>
          <w:sz w:val="32"/>
          <w:szCs w:val="32"/>
        </w:rPr>
        <w:t>促进了</w:t>
      </w:r>
      <w:r>
        <w:rPr>
          <w:rFonts w:hint="eastAsia" w:ascii="仿宋" w:hAnsi="仿宋" w:eastAsia="仿宋" w:cs="仿宋"/>
          <w:sz w:val="32"/>
          <w:szCs w:val="32"/>
        </w:rPr>
        <w:t>我区</w:t>
      </w:r>
      <w:r>
        <w:rPr>
          <w:rFonts w:ascii="仿宋" w:hAnsi="仿宋" w:eastAsia="仿宋" w:cs="仿宋"/>
          <w:sz w:val="32"/>
          <w:szCs w:val="32"/>
        </w:rPr>
        <w:t>旅游业的发</w:t>
      </w:r>
      <w:r>
        <w:rPr>
          <w:rFonts w:hint="eastAsia" w:ascii="仿宋" w:hAnsi="仿宋" w:eastAsia="仿宋" w:cs="仿宋"/>
          <w:sz w:val="32"/>
          <w:szCs w:val="32"/>
        </w:rPr>
        <w:t>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按照财政支出绩效评价指标体系评分标准，2020年中央旅游发展基金补助地方项目经费使用情况良好，无超范围使用或其他不当情形，共计9</w:t>
      </w:r>
      <w:r>
        <w:rPr>
          <w:rFonts w:hint="eastAsia" w:ascii="仿宋" w:hAnsi="仿宋" w:eastAsia="仿宋" w:cs="仿宋"/>
          <w:sz w:val="32"/>
          <w:szCs w:val="32"/>
          <w:lang w:val="en-US" w:eastAsia="zh-CN"/>
        </w:rPr>
        <w:t>8</w:t>
      </w:r>
      <w:r>
        <w:rPr>
          <w:rFonts w:hint="eastAsia" w:ascii="仿宋" w:hAnsi="仿宋" w:eastAsia="仿宋" w:cs="仿宋"/>
          <w:sz w:val="32"/>
          <w:szCs w:val="32"/>
        </w:rPr>
        <w:t>分，拟自评等级为优。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ascii="宋体" w:hAnsi="宋体" w:cs="宋体"/>
                <w:kern w:val="0"/>
                <w:sz w:val="22"/>
                <w:szCs w:val="22"/>
              </w:rPr>
            </w:pPr>
            <w:r>
              <w:rPr>
                <w:rFonts w:hint="eastAsia" w:ascii="宋体" w:hAnsi="宋体" w:cs="宋体"/>
                <w:kern w:val="0"/>
                <w:sz w:val="22"/>
                <w:szCs w:val="22"/>
              </w:rPr>
              <w:t>（ 20</w:t>
            </w:r>
            <w:r>
              <w:rPr>
                <w:rFonts w:hint="eastAsia" w:ascii="宋体" w:hAnsi="宋体" w:cs="宋体"/>
                <w:kern w:val="0"/>
                <w:sz w:val="22"/>
                <w:szCs w:val="22"/>
                <w:lang w:val="en-US" w:eastAsia="zh-CN"/>
              </w:rPr>
              <w:t xml:space="preserve">22 </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2020年中央旅游发展基金补助地方项目资金</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2.92</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00" w:firstLineChars="200"/>
              <w:jc w:val="center"/>
              <w:textAlignment w:val="auto"/>
              <w:rPr>
                <w:rFonts w:ascii="宋体" w:hAnsi="宋体" w:cs="宋体"/>
                <w:kern w:val="0"/>
                <w:szCs w:val="21"/>
              </w:rPr>
            </w:pPr>
            <w:r>
              <w:rPr>
                <w:rFonts w:hint="eastAsia" w:ascii="宋体" w:hAnsi="宋体" w:cs="宋体"/>
                <w:b w:val="0"/>
                <w:bCs w:val="0"/>
                <w:color w:val="000000"/>
                <w:sz w:val="20"/>
                <w:szCs w:val="20"/>
                <w:lang w:eastAsia="zh-CN"/>
              </w:rPr>
              <w:t>专项用于旅游厕所补助项目。</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20" w:firstLineChars="200"/>
              <w:jc w:val="center"/>
              <w:textAlignment w:val="auto"/>
              <w:rPr>
                <w:rFonts w:hint="eastAsia" w:ascii="宋体" w:hAnsi="宋体" w:eastAsia="宋体" w:cs="宋体"/>
                <w:kern w:val="0"/>
                <w:szCs w:val="21"/>
                <w:lang w:eastAsia="zh-CN"/>
              </w:rPr>
            </w:pPr>
            <w:r>
              <w:rPr>
                <w:rFonts w:hint="eastAsia" w:ascii="宋体" w:hAnsi="宋体" w:cs="宋体"/>
                <w:kern w:val="0"/>
                <w:szCs w:val="21"/>
                <w:lang w:eastAsia="zh-CN"/>
              </w:rPr>
              <w:t>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r>
              <w:rPr>
                <w:rFonts w:hint="eastAsia" w:ascii="宋体" w:hAnsi="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年度</w:t>
            </w:r>
            <w:r>
              <w:rPr>
                <w:rFonts w:hint="eastAsia" w:ascii="宋体" w:hAnsi="宋体" w:eastAsia="宋体" w:cs="宋体"/>
                <w:kern w:val="0"/>
                <w:sz w:val="18"/>
                <w:szCs w:val="18"/>
                <w:lang w:eastAsia="zh-CN"/>
              </w:rPr>
              <w:t>指标</w:t>
            </w:r>
            <w:r>
              <w:rPr>
                <w:rFonts w:hint="eastAsia" w:ascii="宋体" w:hAnsi="宋体" w:cs="宋体"/>
                <w:kern w:val="0"/>
                <w:sz w:val="18"/>
                <w:szCs w:val="18"/>
                <w:lang w:eastAsia="zh-CN"/>
              </w:rPr>
              <w:t>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b w:val="0"/>
                <w:bCs w:val="0"/>
                <w:color w:val="000000"/>
                <w:sz w:val="20"/>
                <w:szCs w:val="20"/>
                <w:lang w:eastAsia="zh-CN"/>
              </w:rPr>
              <w:t>单位数量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cs="宋体"/>
                <w:kern w:val="0"/>
                <w:sz w:val="18"/>
                <w:szCs w:val="18"/>
              </w:rPr>
            </w:pPr>
            <w:r>
              <w:rPr>
                <w:rFonts w:hint="eastAsia" w:ascii="宋体" w:hAnsi="宋体" w:eastAsia="宋体" w:cs="宋体"/>
                <w:b w:val="0"/>
                <w:bCs w:val="0"/>
                <w:color w:val="000000"/>
                <w:sz w:val="20"/>
                <w:szCs w:val="20"/>
              </w:rPr>
              <w:t>≥</w:t>
            </w:r>
            <w:r>
              <w:rPr>
                <w:rFonts w:hint="eastAsia" w:ascii="宋体" w:hAnsi="宋体" w:cs="宋体"/>
                <w:b w:val="0"/>
                <w:bCs w:val="0"/>
                <w:color w:val="000000"/>
                <w:sz w:val="20"/>
                <w:szCs w:val="20"/>
                <w:lang w:val="en-US" w:eastAsia="zh-CN"/>
              </w:rPr>
              <w:t>1家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补助企业</w:t>
            </w:r>
            <w:r>
              <w:rPr>
                <w:rFonts w:hint="eastAsia" w:ascii="宋体" w:hAnsi="宋体" w:cs="宋体"/>
                <w:kern w:val="0"/>
                <w:sz w:val="18"/>
                <w:szCs w:val="18"/>
                <w:lang w:val="en-US" w:eastAsia="zh-CN"/>
              </w:rPr>
              <w:t>1家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厕所建设质量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bookmarkStart w:id="0" w:name="_GoBack"/>
            <w:bookmarkEnd w:id="0"/>
            <w:r>
              <w:rPr>
                <w:rFonts w:hint="eastAsia" w:ascii="宋体" w:hAnsi="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lang w:val="en-US" w:eastAsia="zh-CN"/>
              </w:rPr>
              <w:t>≤2.92</w:t>
            </w:r>
            <w:r>
              <w:rPr>
                <w:rFonts w:hint="eastAsia" w:ascii="宋体" w:hAnsi="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2.92万元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b w:val="0"/>
                <w:bCs w:val="0"/>
                <w:color w:val="000000"/>
                <w:sz w:val="20"/>
                <w:szCs w:val="20"/>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cs="宋体"/>
                <w:kern w:val="0"/>
                <w:sz w:val="18"/>
                <w:szCs w:val="18"/>
              </w:rPr>
            </w:pPr>
            <w:r>
              <w:rPr>
                <w:rFonts w:hint="eastAsia" w:ascii="宋体" w:hAnsi="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color w:val="000000"/>
                <w:sz w:val="20"/>
                <w:szCs w:val="20"/>
              </w:rPr>
              <w:t>≥9</w:t>
            </w:r>
            <w:r>
              <w:rPr>
                <w:rFonts w:hint="eastAsia" w:ascii="宋体" w:hAnsi="宋体" w:cs="宋体"/>
                <w:color w:val="000000"/>
                <w:sz w:val="20"/>
                <w:szCs w:val="20"/>
                <w:lang w:val="en-US" w:eastAsia="zh-CN"/>
              </w:rPr>
              <w:t>5</w:t>
            </w:r>
            <w:r>
              <w:rPr>
                <w:rFonts w:hint="eastAsia" w:ascii="宋体" w:hAnsi="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color w:val="000000"/>
                <w:sz w:val="20"/>
                <w:szCs w:val="20"/>
              </w:rPr>
              <w:t>≥9</w:t>
            </w:r>
            <w:r>
              <w:rPr>
                <w:rFonts w:hint="eastAsia" w:ascii="宋体" w:hAnsi="宋体" w:cs="宋体"/>
                <w:color w:val="000000"/>
                <w:sz w:val="20"/>
                <w:szCs w:val="20"/>
                <w:lang w:val="en-US" w:eastAsia="zh-CN"/>
              </w:rPr>
              <w:t>5</w:t>
            </w:r>
            <w:r>
              <w:rPr>
                <w:rFonts w:hint="eastAsia" w:ascii="宋体" w:hAnsi="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8</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w:t>
      </w:r>
      <w:r>
        <w:rPr>
          <w:rFonts w:ascii="仿宋" w:hAnsi="仿宋" w:eastAsia="仿宋" w:cs="仿宋"/>
          <w:sz w:val="32"/>
          <w:szCs w:val="32"/>
        </w:rPr>
        <w:t>年度项目立项依据充分、程序合规、项目资金使用计划可行、审批手续齐全。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2020年中央旅游发展基金补助地方项目资金</w:t>
      </w:r>
      <w:r>
        <w:rPr>
          <w:rFonts w:ascii="仿宋" w:hAnsi="仿宋" w:eastAsia="仿宋" w:cs="仿宋"/>
          <w:sz w:val="32"/>
          <w:szCs w:val="32"/>
        </w:rPr>
        <w:t>预算时，明确了旅游发展工作思路、发展目标和工作任务等。但少数项目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lang w:val="en-US" w:eastAsia="zh-CN"/>
        </w:rPr>
        <w:t>20</w:t>
      </w:r>
      <w:r>
        <w:rPr>
          <w:rFonts w:ascii="仿宋" w:hAnsi="仿宋" w:eastAsia="仿宋" w:cs="仿宋"/>
          <w:sz w:val="32"/>
          <w:szCs w:val="32"/>
        </w:rPr>
        <w:t>分，实际得分</w:t>
      </w:r>
      <w:r>
        <w:rPr>
          <w:rFonts w:hint="eastAsia" w:ascii="仿宋" w:hAnsi="仿宋" w:eastAsia="仿宋" w:cs="仿宋"/>
          <w:sz w:val="32"/>
          <w:szCs w:val="32"/>
          <w:lang w:val="en-US" w:eastAsia="zh-CN"/>
        </w:rPr>
        <w:t>20</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40</w:t>
      </w:r>
      <w:r>
        <w:rPr>
          <w:rFonts w:ascii="仿宋" w:hAnsi="仿宋" w:eastAsia="仿宋" w:cs="仿宋"/>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通过项目实施，旅游业发展</w:t>
      </w:r>
      <w:r>
        <w:rPr>
          <w:rFonts w:hint="eastAsia" w:ascii="仿宋" w:hAnsi="仿宋" w:eastAsia="仿宋" w:cs="仿宋"/>
          <w:sz w:val="32"/>
          <w:szCs w:val="32"/>
        </w:rPr>
        <w:t>得</w:t>
      </w:r>
      <w:r>
        <w:rPr>
          <w:rFonts w:ascii="仿宋" w:hAnsi="仿宋" w:eastAsia="仿宋" w:cs="仿宋"/>
          <w:sz w:val="32"/>
          <w:szCs w:val="32"/>
        </w:rPr>
        <w:t>到提升，项目经济效益、社会效益显著，游客满意度</w:t>
      </w:r>
      <w:r>
        <w:rPr>
          <w:rFonts w:hint="eastAsia" w:ascii="仿宋" w:hAnsi="仿宋" w:eastAsia="仿宋" w:cs="仿宋"/>
          <w:sz w:val="32"/>
          <w:szCs w:val="32"/>
        </w:rPr>
        <w:t>9</w:t>
      </w:r>
      <w:r>
        <w:rPr>
          <w:rFonts w:hint="eastAsia" w:ascii="仿宋" w:hAnsi="仿宋" w:eastAsia="仿宋" w:cs="仿宋"/>
          <w:sz w:val="32"/>
          <w:szCs w:val="32"/>
          <w:lang w:val="en-US" w:eastAsia="zh-CN"/>
        </w:rPr>
        <w:t>5</w:t>
      </w:r>
      <w:r>
        <w:rPr>
          <w:rFonts w:hint="eastAsia" w:ascii="仿宋" w:hAnsi="仿宋" w:eastAsia="仿宋" w:cs="仿宋"/>
          <w:sz w:val="32"/>
          <w:szCs w:val="32"/>
        </w:rPr>
        <w:t>%以上</w:t>
      </w:r>
      <w:r>
        <w:rPr>
          <w:rFonts w:ascii="仿宋" w:hAnsi="仿宋" w:eastAsia="仿宋" w:cs="仿宋"/>
          <w:sz w:val="32"/>
          <w:szCs w:val="32"/>
        </w:rPr>
        <w:t>。项目效果指标分值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38</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_GB2312" w:eastAsia="仿宋_GB2312"/>
          <w:sz w:val="32"/>
          <w:szCs w:val="32"/>
        </w:rPr>
      </w:pPr>
      <w:r>
        <w:rPr>
          <w:rFonts w:ascii="仿宋_GB2312" w:eastAsia="仿宋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eastAsia="方正仿宋_GBK"/>
          <w:sz w:val="32"/>
          <w:szCs w:val="32"/>
        </w:rPr>
      </w:pPr>
      <w:r>
        <w:rPr>
          <w:rFonts w:hint="eastAsia" w:eastAsia="方正仿宋_GBK"/>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lang w:bidi="ar"/>
        </w:rPr>
        <w:t>现</w:t>
      </w:r>
      <w:r>
        <w:rPr>
          <w:rFonts w:hint="eastAsia" w:ascii="仿宋_GB2312" w:hAnsi="å®‹ä½“"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ZjEwYTEwOTYxZDE4NDNhNTkwOWE3ZDM5ZDcwYTkifQ=="/>
  </w:docVars>
  <w:rsids>
    <w:rsidRoot w:val="00000000"/>
    <w:rsid w:val="012C1F65"/>
    <w:rsid w:val="01722330"/>
    <w:rsid w:val="032867C3"/>
    <w:rsid w:val="03A31E0D"/>
    <w:rsid w:val="03E5503B"/>
    <w:rsid w:val="052F2A11"/>
    <w:rsid w:val="05F23A3F"/>
    <w:rsid w:val="06782196"/>
    <w:rsid w:val="06796BDA"/>
    <w:rsid w:val="07C03DF5"/>
    <w:rsid w:val="08283748"/>
    <w:rsid w:val="08907C6B"/>
    <w:rsid w:val="09DB4F16"/>
    <w:rsid w:val="0A3003B8"/>
    <w:rsid w:val="0A984BB5"/>
    <w:rsid w:val="0B4D3BF1"/>
    <w:rsid w:val="0C676F35"/>
    <w:rsid w:val="0D240982"/>
    <w:rsid w:val="0DF869C5"/>
    <w:rsid w:val="0E1C78AB"/>
    <w:rsid w:val="0EAB2494"/>
    <w:rsid w:val="0FBA3368"/>
    <w:rsid w:val="0FE37E68"/>
    <w:rsid w:val="10A36062"/>
    <w:rsid w:val="12E7492B"/>
    <w:rsid w:val="14B922F8"/>
    <w:rsid w:val="15F5110D"/>
    <w:rsid w:val="161672D6"/>
    <w:rsid w:val="165A5414"/>
    <w:rsid w:val="16C75851"/>
    <w:rsid w:val="1871170C"/>
    <w:rsid w:val="1A9D32A1"/>
    <w:rsid w:val="1AB858FC"/>
    <w:rsid w:val="1B1B7007"/>
    <w:rsid w:val="1BC47C12"/>
    <w:rsid w:val="1CE7185E"/>
    <w:rsid w:val="1D1A58FD"/>
    <w:rsid w:val="1D4A222A"/>
    <w:rsid w:val="1E401394"/>
    <w:rsid w:val="1F6C682F"/>
    <w:rsid w:val="1FAF3F98"/>
    <w:rsid w:val="20CE712B"/>
    <w:rsid w:val="21D355A1"/>
    <w:rsid w:val="22E913E6"/>
    <w:rsid w:val="23C2284B"/>
    <w:rsid w:val="24262DDA"/>
    <w:rsid w:val="24A50210"/>
    <w:rsid w:val="24D17434"/>
    <w:rsid w:val="25592D3B"/>
    <w:rsid w:val="25DC06EA"/>
    <w:rsid w:val="261D1FBA"/>
    <w:rsid w:val="26C62652"/>
    <w:rsid w:val="26CF1507"/>
    <w:rsid w:val="27007912"/>
    <w:rsid w:val="286914E7"/>
    <w:rsid w:val="294F4B81"/>
    <w:rsid w:val="29B6075C"/>
    <w:rsid w:val="29BB1F4B"/>
    <w:rsid w:val="29F6324E"/>
    <w:rsid w:val="2C057779"/>
    <w:rsid w:val="2C3562B0"/>
    <w:rsid w:val="2D4E2D58"/>
    <w:rsid w:val="2D656721"/>
    <w:rsid w:val="2D720E3E"/>
    <w:rsid w:val="2DFB7085"/>
    <w:rsid w:val="2E96672A"/>
    <w:rsid w:val="2EF545EB"/>
    <w:rsid w:val="2EF75A9F"/>
    <w:rsid w:val="2F0361F1"/>
    <w:rsid w:val="2F6B1FE9"/>
    <w:rsid w:val="2F745341"/>
    <w:rsid w:val="2FCC6F2B"/>
    <w:rsid w:val="2FE36023"/>
    <w:rsid w:val="31576CC8"/>
    <w:rsid w:val="31D71BB7"/>
    <w:rsid w:val="32DA195F"/>
    <w:rsid w:val="332B5D17"/>
    <w:rsid w:val="35BB5A78"/>
    <w:rsid w:val="35C15A46"/>
    <w:rsid w:val="362E3F69"/>
    <w:rsid w:val="363B2715"/>
    <w:rsid w:val="36C070BE"/>
    <w:rsid w:val="383218F5"/>
    <w:rsid w:val="38F44DFD"/>
    <w:rsid w:val="396E5A71"/>
    <w:rsid w:val="3A6B53FF"/>
    <w:rsid w:val="3AC70A1B"/>
    <w:rsid w:val="3B043A1D"/>
    <w:rsid w:val="3F0B2EA0"/>
    <w:rsid w:val="3F1E4982"/>
    <w:rsid w:val="3F8720D4"/>
    <w:rsid w:val="403F1053"/>
    <w:rsid w:val="42A31D6D"/>
    <w:rsid w:val="42C323FF"/>
    <w:rsid w:val="4392593E"/>
    <w:rsid w:val="439B0C97"/>
    <w:rsid w:val="44924FB5"/>
    <w:rsid w:val="44E64193"/>
    <w:rsid w:val="45140D01"/>
    <w:rsid w:val="46026DAB"/>
    <w:rsid w:val="46C04A60"/>
    <w:rsid w:val="47484C91"/>
    <w:rsid w:val="47C17169"/>
    <w:rsid w:val="495E079C"/>
    <w:rsid w:val="498E6BA8"/>
    <w:rsid w:val="499071B4"/>
    <w:rsid w:val="4A77763C"/>
    <w:rsid w:val="4B6E0A3F"/>
    <w:rsid w:val="4B831C8E"/>
    <w:rsid w:val="4C353DCC"/>
    <w:rsid w:val="4DF96CE5"/>
    <w:rsid w:val="4F035942"/>
    <w:rsid w:val="508458B2"/>
    <w:rsid w:val="51331174"/>
    <w:rsid w:val="518E1E3B"/>
    <w:rsid w:val="51EE5378"/>
    <w:rsid w:val="54634273"/>
    <w:rsid w:val="551E43D5"/>
    <w:rsid w:val="5520610D"/>
    <w:rsid w:val="556C4241"/>
    <w:rsid w:val="562C577E"/>
    <w:rsid w:val="573E2CD0"/>
    <w:rsid w:val="57914433"/>
    <w:rsid w:val="57C06AC6"/>
    <w:rsid w:val="5A2450EA"/>
    <w:rsid w:val="5A3410A5"/>
    <w:rsid w:val="5A6E45B7"/>
    <w:rsid w:val="5AB50438"/>
    <w:rsid w:val="5B0A2ABB"/>
    <w:rsid w:val="5BDF513B"/>
    <w:rsid w:val="5D8B36D2"/>
    <w:rsid w:val="5ED13367"/>
    <w:rsid w:val="5EF17565"/>
    <w:rsid w:val="5F182D44"/>
    <w:rsid w:val="5F6B7317"/>
    <w:rsid w:val="600F42E7"/>
    <w:rsid w:val="618B1EF3"/>
    <w:rsid w:val="61CD6067"/>
    <w:rsid w:val="63170071"/>
    <w:rsid w:val="639A641D"/>
    <w:rsid w:val="657C227E"/>
    <w:rsid w:val="67144738"/>
    <w:rsid w:val="680734FE"/>
    <w:rsid w:val="68680898"/>
    <w:rsid w:val="69CA3513"/>
    <w:rsid w:val="6B8C6F93"/>
    <w:rsid w:val="6B9A5701"/>
    <w:rsid w:val="6C4B6506"/>
    <w:rsid w:val="6DEA1D4F"/>
    <w:rsid w:val="6E846A1F"/>
    <w:rsid w:val="702F4391"/>
    <w:rsid w:val="704850BB"/>
    <w:rsid w:val="704C6CF1"/>
    <w:rsid w:val="70701516"/>
    <w:rsid w:val="70F21646"/>
    <w:rsid w:val="71810C1C"/>
    <w:rsid w:val="71D76A8E"/>
    <w:rsid w:val="72671BC0"/>
    <w:rsid w:val="72BA7F05"/>
    <w:rsid w:val="73685544"/>
    <w:rsid w:val="74251D33"/>
    <w:rsid w:val="747D5833"/>
    <w:rsid w:val="79B17BC5"/>
    <w:rsid w:val="7A2A28FE"/>
    <w:rsid w:val="7AAA04B1"/>
    <w:rsid w:val="7ADF741C"/>
    <w:rsid w:val="7B5F5B2A"/>
    <w:rsid w:val="7BC260B9"/>
    <w:rsid w:val="7C0641F8"/>
    <w:rsid w:val="7C5800CE"/>
    <w:rsid w:val="7C911AF3"/>
    <w:rsid w:val="7CF653C4"/>
    <w:rsid w:val="7D124E1E"/>
    <w:rsid w:val="7DB54128"/>
    <w:rsid w:val="7ECA59B1"/>
    <w:rsid w:val="7EDF27E5"/>
    <w:rsid w:val="7EE31342"/>
    <w:rsid w:val="7EF26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2319</Words>
  <Characters>2405</Characters>
  <Lines>0</Lines>
  <Paragraphs>0</Paragraphs>
  <TotalTime>1</TotalTime>
  <ScaleCrop>false</ScaleCrop>
  <LinksUpToDate>false</LinksUpToDate>
  <CharactersWithSpaces>2411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28A897422895428CA591E1CE158B4889</vt:lpwstr>
  </property>
</Properties>
</file>