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汽车租赁费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9</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用于我局汽车租赁费用</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租赁数量为</w:t>
            </w:r>
            <w:r>
              <w:rPr>
                <w:rFonts w:hint="eastAsia" w:ascii="宋体" w:hAnsi="宋体" w:cs="宋体"/>
                <w:color w:val="000000"/>
                <w:kern w:val="0"/>
                <w:sz w:val="18"/>
                <w:szCs w:val="18"/>
                <w:lang w:val="en-US" w:eastAsia="zh-CN"/>
              </w:rPr>
              <w:t>3辆</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80"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11.7万元以内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租赁车辆使用率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2022年支出预算9万元。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项目绩效目标：用于社会局汽车租赁的费用。</w:t>
      </w:r>
    </w:p>
    <w:p>
      <w:pPr>
        <w:numPr>
          <w:ilvl w:val="0"/>
          <w:numId w:val="0"/>
        </w:numPr>
        <w:spacing w:line="60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阶段性目标：按实际情况完成社会局汽车租赁，按季度支付资金。</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9万元以内，按实际情况完成,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汽车租赁费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保障我局车辆正常使用，按时拨付资金。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w:t>
      </w:r>
      <w:bookmarkStart w:id="0" w:name="_GoBack"/>
      <w:bookmarkEnd w:id="0"/>
      <w:r>
        <w:rPr>
          <w:rFonts w:hint="eastAsia" w:ascii="仿宋_GB2312" w:eastAsia="仿宋_GB2312"/>
          <w:sz w:val="32"/>
          <w:szCs w:val="32"/>
        </w:rPr>
        <w:t>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D5C56D6"/>
    <w:rsid w:val="0F554B5A"/>
    <w:rsid w:val="18873599"/>
    <w:rsid w:val="19727A08"/>
    <w:rsid w:val="1C442C51"/>
    <w:rsid w:val="1DC24F9A"/>
    <w:rsid w:val="20B954DA"/>
    <w:rsid w:val="22063947"/>
    <w:rsid w:val="25974E59"/>
    <w:rsid w:val="295B2DEC"/>
    <w:rsid w:val="2D652B9D"/>
    <w:rsid w:val="2FD77D03"/>
    <w:rsid w:val="320F4D9B"/>
    <w:rsid w:val="339E6573"/>
    <w:rsid w:val="33D34935"/>
    <w:rsid w:val="33ED174A"/>
    <w:rsid w:val="348F4437"/>
    <w:rsid w:val="389E00A4"/>
    <w:rsid w:val="3AEC43A8"/>
    <w:rsid w:val="3BBC3A4E"/>
    <w:rsid w:val="3D91090F"/>
    <w:rsid w:val="3F1C0BCF"/>
    <w:rsid w:val="428155B6"/>
    <w:rsid w:val="42E06069"/>
    <w:rsid w:val="45C57431"/>
    <w:rsid w:val="46B41D9E"/>
    <w:rsid w:val="474340AE"/>
    <w:rsid w:val="49874FB1"/>
    <w:rsid w:val="4AA16EC6"/>
    <w:rsid w:val="4BF17C71"/>
    <w:rsid w:val="4F763CB6"/>
    <w:rsid w:val="539E448E"/>
    <w:rsid w:val="56127CD9"/>
    <w:rsid w:val="59633DCD"/>
    <w:rsid w:val="59666823"/>
    <w:rsid w:val="5AC16E5A"/>
    <w:rsid w:val="5B3F508F"/>
    <w:rsid w:val="5C4131A4"/>
    <w:rsid w:val="5DFB70AF"/>
    <w:rsid w:val="656F3766"/>
    <w:rsid w:val="661E2E3C"/>
    <w:rsid w:val="685B4680"/>
    <w:rsid w:val="6B360A92"/>
    <w:rsid w:val="6DC26FF5"/>
    <w:rsid w:val="6ED95550"/>
    <w:rsid w:val="6F3434CF"/>
    <w:rsid w:val="6FE567D6"/>
    <w:rsid w:val="710F40D9"/>
    <w:rsid w:val="71B20E2B"/>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1553</Words>
  <Characters>1647</Characters>
  <Lines>6</Lines>
  <Paragraphs>1</Paragraphs>
  <TotalTime>1</TotalTime>
  <ScaleCrop>false</ScaleCrop>
  <LinksUpToDate>false</LinksUpToDate>
  <CharactersWithSpaces>1665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2023-02-22T06:43:24Z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C1B921508D1C465B9B1DCC4C4F88AA05</vt:lpwstr>
  </property>
</Properties>
</file>