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8900" w:type="dxa"/>
        <w:jc w:val="center"/>
        <w:tblLayout w:type="fixed"/>
        <w:tblCellMar>
          <w:top w:w="0" w:type="dxa"/>
          <w:left w:w="108" w:type="dxa"/>
          <w:bottom w:w="0" w:type="dxa"/>
          <w:right w:w="108" w:type="dxa"/>
        </w:tblCellMar>
      </w:tblPr>
      <w:tblGrid>
        <w:gridCol w:w="575"/>
        <w:gridCol w:w="961"/>
        <w:gridCol w:w="1089"/>
        <w:gridCol w:w="715"/>
        <w:gridCol w:w="1111"/>
        <w:gridCol w:w="279"/>
        <w:gridCol w:w="833"/>
        <w:gridCol w:w="833"/>
        <w:gridCol w:w="278"/>
        <w:gridCol w:w="277"/>
        <w:gridCol w:w="417"/>
        <w:gridCol w:w="138"/>
        <w:gridCol w:w="695"/>
        <w:gridCol w:w="699"/>
      </w:tblGrid>
      <w:tr>
        <w:tblPrEx>
          <w:tblCellMar>
            <w:top w:w="0" w:type="dxa"/>
            <w:left w:w="108" w:type="dxa"/>
            <w:bottom w:w="0" w:type="dxa"/>
            <w:right w:w="108" w:type="dxa"/>
          </w:tblCellMar>
        </w:tblPrEx>
        <w:trPr>
          <w:trHeight w:val="500" w:hRule="exact"/>
          <w:jc w:val="center"/>
        </w:trPr>
        <w:tc>
          <w:tcPr>
            <w:tcW w:w="8900" w:type="dxa"/>
            <w:gridSpan w:val="14"/>
            <w:tcBorders>
              <w:top w:val="nil"/>
              <w:left w:val="nil"/>
              <w:bottom w:val="nil"/>
              <w:right w:val="nil"/>
            </w:tcBorders>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lang w:val="en-US" w:eastAsia="zh-CN"/>
              </w:rPr>
              <w:t xml:space="preserve"> </w:t>
            </w: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538" w:hRule="atLeast"/>
          <w:jc w:val="center"/>
        </w:trPr>
        <w:tc>
          <w:tcPr>
            <w:tcW w:w="8900" w:type="dxa"/>
            <w:gridSpan w:val="14"/>
            <w:tcBorders>
              <w:top w:val="nil"/>
              <w:left w:val="nil"/>
              <w:bottom w:val="nil"/>
              <w:right w:val="nil"/>
            </w:tcBorders>
          </w:tcPr>
          <w:p>
            <w:pPr>
              <w:pStyle w:val="2"/>
              <w:bidi w:val="0"/>
            </w:pPr>
            <w:r>
              <w:rPr>
                <w:rFonts w:hint="eastAsia"/>
              </w:rPr>
              <w:t>（</w:t>
            </w:r>
            <w:r>
              <w:rPr>
                <w:rFonts w:hint="eastAsia"/>
                <w:lang w:val="en-US" w:eastAsia="zh-CN"/>
              </w:rPr>
              <w:t>2022</w:t>
            </w:r>
            <w:bookmarkStart w:id="0" w:name="_GoBack"/>
            <w:bookmarkEnd w:id="0"/>
            <w:r>
              <w:rPr>
                <w:rFonts w:hint="eastAsia"/>
              </w:rPr>
              <w:t>年度）</w:t>
            </w:r>
          </w:p>
        </w:tc>
      </w:tr>
      <w:tr>
        <w:tblPrEx>
          <w:tblCellMar>
            <w:top w:w="0" w:type="dxa"/>
            <w:left w:w="108" w:type="dxa"/>
            <w:bottom w:w="0" w:type="dxa"/>
            <w:right w:w="108" w:type="dxa"/>
          </w:tblCellMar>
        </w:tblPrEx>
        <w:trPr>
          <w:trHeight w:val="290" w:hRule="exact"/>
          <w:jc w:val="center"/>
        </w:trPr>
        <w:tc>
          <w:tcPr>
            <w:tcW w:w="1536"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364"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城乡居民基本医疗保险</w:t>
            </w:r>
          </w:p>
        </w:tc>
      </w:tr>
      <w:tr>
        <w:tblPrEx>
          <w:tblCellMar>
            <w:top w:w="0" w:type="dxa"/>
            <w:left w:w="108" w:type="dxa"/>
            <w:bottom w:w="0" w:type="dxa"/>
            <w:right w:w="108" w:type="dxa"/>
          </w:tblCellMar>
        </w:tblPrEx>
        <w:trPr>
          <w:trHeight w:val="290" w:hRule="exact"/>
          <w:jc w:val="center"/>
        </w:trPr>
        <w:tc>
          <w:tcPr>
            <w:tcW w:w="1536"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027"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社会事务科</w:t>
            </w:r>
          </w:p>
        </w:tc>
        <w:tc>
          <w:tcPr>
            <w:tcW w:w="111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2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社会事务管理局</w:t>
            </w:r>
          </w:p>
        </w:tc>
      </w:tr>
      <w:tr>
        <w:tblPrEx>
          <w:tblCellMar>
            <w:top w:w="0" w:type="dxa"/>
            <w:left w:w="108" w:type="dxa"/>
            <w:bottom w:w="0" w:type="dxa"/>
            <w:right w:w="108" w:type="dxa"/>
          </w:tblCellMar>
        </w:tblPrEx>
        <w:trPr>
          <w:trHeight w:val="290" w:hRule="exact"/>
          <w:jc w:val="center"/>
        </w:trPr>
        <w:tc>
          <w:tcPr>
            <w:tcW w:w="1536"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1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1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69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290" w:hRule="exact"/>
          <w:jc w:val="center"/>
        </w:trPr>
        <w:tc>
          <w:tcPr>
            <w:tcW w:w="1536"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1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45</w:t>
            </w:r>
          </w:p>
        </w:tc>
        <w:tc>
          <w:tcPr>
            <w:tcW w:w="111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45</w:t>
            </w:r>
          </w:p>
        </w:tc>
        <w:tc>
          <w:tcPr>
            <w:tcW w:w="1111"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43.42</w:t>
            </w:r>
          </w:p>
        </w:tc>
        <w:tc>
          <w:tcPr>
            <w:tcW w:w="69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96.48%</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9.6</w:t>
            </w:r>
          </w:p>
        </w:tc>
      </w:tr>
      <w:tr>
        <w:tblPrEx>
          <w:tblCellMar>
            <w:top w:w="0" w:type="dxa"/>
            <w:left w:w="108" w:type="dxa"/>
            <w:bottom w:w="0" w:type="dxa"/>
            <w:right w:w="108" w:type="dxa"/>
          </w:tblCellMar>
        </w:tblPrEx>
        <w:trPr>
          <w:trHeight w:val="290" w:hRule="exact"/>
          <w:jc w:val="center"/>
        </w:trPr>
        <w:tc>
          <w:tcPr>
            <w:tcW w:w="1536"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1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90" w:hRule="exact"/>
          <w:jc w:val="center"/>
        </w:trPr>
        <w:tc>
          <w:tcPr>
            <w:tcW w:w="1536"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1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90" w:hRule="exact"/>
          <w:jc w:val="center"/>
        </w:trPr>
        <w:tc>
          <w:tcPr>
            <w:tcW w:w="1536"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1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90" w:hRule="exact"/>
          <w:jc w:val="center"/>
        </w:trPr>
        <w:tc>
          <w:tcPr>
            <w:tcW w:w="57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4988"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33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605" w:hRule="exact"/>
          <w:jc w:val="center"/>
        </w:trPr>
        <w:tc>
          <w:tcPr>
            <w:tcW w:w="57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988"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辖区我区居民及时参保</w:t>
            </w:r>
          </w:p>
        </w:tc>
        <w:tc>
          <w:tcPr>
            <w:tcW w:w="333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完成率为</w:t>
            </w:r>
            <w:r>
              <w:rPr>
                <w:rFonts w:hint="eastAsia" w:ascii="宋体" w:hAnsi="宋体" w:cs="宋体"/>
                <w:kern w:val="0"/>
                <w:sz w:val="18"/>
                <w:szCs w:val="18"/>
                <w:lang w:val="en-US" w:eastAsia="zh-CN"/>
              </w:rPr>
              <w:t>96.48%</w:t>
            </w:r>
          </w:p>
        </w:tc>
      </w:tr>
      <w:tr>
        <w:tblPrEx>
          <w:tblCellMar>
            <w:top w:w="0" w:type="dxa"/>
            <w:left w:w="108" w:type="dxa"/>
            <w:bottom w:w="0" w:type="dxa"/>
            <w:right w:w="108" w:type="dxa"/>
          </w:tblCellMar>
        </w:tblPrEx>
        <w:trPr>
          <w:trHeight w:val="290" w:hRule="exact"/>
          <w:jc w:val="center"/>
        </w:trPr>
        <w:tc>
          <w:tcPr>
            <w:tcW w:w="575"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6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08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05"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290" w:hRule="exact"/>
          <w:jc w:val="center"/>
        </w:trPr>
        <w:tc>
          <w:tcPr>
            <w:tcW w:w="575"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1"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tc>
        <w:tc>
          <w:tcPr>
            <w:tcW w:w="108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0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参保率99%以上</w:t>
            </w:r>
          </w:p>
        </w:tc>
        <w:tc>
          <w:tcPr>
            <w:tcW w:w="83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3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0" w:hRule="exact"/>
          <w:jc w:val="center"/>
        </w:trPr>
        <w:tc>
          <w:tcPr>
            <w:tcW w:w="575"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0" w:hRule="exact"/>
          <w:jc w:val="center"/>
        </w:trPr>
        <w:tc>
          <w:tcPr>
            <w:tcW w:w="575"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0" w:hRule="exact"/>
          <w:jc w:val="center"/>
        </w:trPr>
        <w:tc>
          <w:tcPr>
            <w:tcW w:w="575"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0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按时完成征缴任务</w:t>
            </w:r>
          </w:p>
        </w:tc>
        <w:tc>
          <w:tcPr>
            <w:tcW w:w="83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3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0" w:hRule="exact"/>
          <w:jc w:val="center"/>
        </w:trPr>
        <w:tc>
          <w:tcPr>
            <w:tcW w:w="575"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0" w:hRule="exact"/>
          <w:jc w:val="center"/>
        </w:trPr>
        <w:tc>
          <w:tcPr>
            <w:tcW w:w="575"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0" w:hRule="exact"/>
          <w:jc w:val="center"/>
        </w:trPr>
        <w:tc>
          <w:tcPr>
            <w:tcW w:w="575"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0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年度内完成</w:t>
            </w:r>
          </w:p>
        </w:tc>
        <w:tc>
          <w:tcPr>
            <w:tcW w:w="83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3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0" w:hRule="exact"/>
          <w:jc w:val="center"/>
        </w:trPr>
        <w:tc>
          <w:tcPr>
            <w:tcW w:w="575"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0" w:hRule="exact"/>
          <w:jc w:val="center"/>
        </w:trPr>
        <w:tc>
          <w:tcPr>
            <w:tcW w:w="575"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0" w:hRule="exact"/>
          <w:jc w:val="center"/>
        </w:trPr>
        <w:tc>
          <w:tcPr>
            <w:tcW w:w="575"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10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严格预算</w:t>
            </w:r>
          </w:p>
        </w:tc>
        <w:tc>
          <w:tcPr>
            <w:tcW w:w="83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3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0" w:hRule="exact"/>
          <w:jc w:val="center"/>
        </w:trPr>
        <w:tc>
          <w:tcPr>
            <w:tcW w:w="575"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0" w:hRule="exact"/>
          <w:jc w:val="center"/>
        </w:trPr>
        <w:tc>
          <w:tcPr>
            <w:tcW w:w="575"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0" w:hRule="exact"/>
          <w:jc w:val="center"/>
        </w:trPr>
        <w:tc>
          <w:tcPr>
            <w:tcW w:w="575"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1"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tc>
        <w:tc>
          <w:tcPr>
            <w:tcW w:w="108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0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p>
        </w:tc>
        <w:tc>
          <w:tcPr>
            <w:tcW w:w="83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83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0" w:hRule="exact"/>
          <w:jc w:val="center"/>
        </w:trPr>
        <w:tc>
          <w:tcPr>
            <w:tcW w:w="575"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0" w:hRule="exact"/>
          <w:jc w:val="center"/>
        </w:trPr>
        <w:tc>
          <w:tcPr>
            <w:tcW w:w="575"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0" w:hRule="exact"/>
          <w:jc w:val="center"/>
        </w:trPr>
        <w:tc>
          <w:tcPr>
            <w:tcW w:w="575"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0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群众看病就医方便度明显提高</w:t>
            </w:r>
          </w:p>
        </w:tc>
        <w:tc>
          <w:tcPr>
            <w:tcW w:w="83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3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0" w:hRule="exact"/>
          <w:jc w:val="center"/>
        </w:trPr>
        <w:tc>
          <w:tcPr>
            <w:tcW w:w="575"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指标2：</w:t>
            </w:r>
            <w:r>
              <w:rPr>
                <w:rFonts w:hint="eastAsia" w:ascii="宋体" w:hAnsi="宋体" w:cs="宋体"/>
                <w:color w:val="000000"/>
                <w:kern w:val="0"/>
                <w:sz w:val="18"/>
                <w:szCs w:val="18"/>
                <w:lang w:val="en-US" w:eastAsia="zh-CN"/>
              </w:rPr>
              <w:t>群众医疗保险负担减轻程度有效缓解</w:t>
            </w:r>
          </w:p>
        </w:tc>
        <w:tc>
          <w:tcPr>
            <w:tcW w:w="83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3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both"/>
              <w:rPr>
                <w:rFonts w:ascii="宋体" w:hAnsi="宋体" w:cs="宋体"/>
                <w:kern w:val="0"/>
                <w:sz w:val="18"/>
                <w:szCs w:val="18"/>
              </w:rPr>
            </w:pPr>
          </w:p>
        </w:tc>
      </w:tr>
      <w:tr>
        <w:tblPrEx>
          <w:tblCellMar>
            <w:top w:w="0" w:type="dxa"/>
            <w:left w:w="108" w:type="dxa"/>
            <w:bottom w:w="0" w:type="dxa"/>
            <w:right w:w="108" w:type="dxa"/>
          </w:tblCellMar>
        </w:tblPrEx>
        <w:trPr>
          <w:trHeight w:val="290" w:hRule="exact"/>
          <w:jc w:val="center"/>
        </w:trPr>
        <w:tc>
          <w:tcPr>
            <w:tcW w:w="575"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0" w:hRule="exact"/>
          <w:jc w:val="center"/>
        </w:trPr>
        <w:tc>
          <w:tcPr>
            <w:tcW w:w="575"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0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p>
        </w:tc>
        <w:tc>
          <w:tcPr>
            <w:tcW w:w="83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83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0" w:hRule="exact"/>
          <w:jc w:val="center"/>
        </w:trPr>
        <w:tc>
          <w:tcPr>
            <w:tcW w:w="575"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0" w:hRule="exact"/>
          <w:jc w:val="center"/>
        </w:trPr>
        <w:tc>
          <w:tcPr>
            <w:tcW w:w="575"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0" w:hRule="exact"/>
          <w:jc w:val="center"/>
        </w:trPr>
        <w:tc>
          <w:tcPr>
            <w:tcW w:w="575"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10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保障参保居民就医、报销</w:t>
            </w:r>
          </w:p>
        </w:tc>
        <w:tc>
          <w:tcPr>
            <w:tcW w:w="83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3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0" w:hRule="exact"/>
          <w:jc w:val="center"/>
        </w:trPr>
        <w:tc>
          <w:tcPr>
            <w:tcW w:w="575"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0" w:hRule="exact"/>
          <w:jc w:val="center"/>
        </w:trPr>
        <w:tc>
          <w:tcPr>
            <w:tcW w:w="575"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0" w:hRule="exact"/>
          <w:jc w:val="center"/>
        </w:trPr>
        <w:tc>
          <w:tcPr>
            <w:tcW w:w="575"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1"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08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0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满意</w:t>
            </w:r>
          </w:p>
        </w:tc>
        <w:tc>
          <w:tcPr>
            <w:tcW w:w="83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3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0" w:hRule="exact"/>
          <w:jc w:val="center"/>
        </w:trPr>
        <w:tc>
          <w:tcPr>
            <w:tcW w:w="575"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1"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0" w:hRule="exact"/>
          <w:jc w:val="center"/>
        </w:trPr>
        <w:tc>
          <w:tcPr>
            <w:tcW w:w="575"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1"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23" w:hRule="exact"/>
          <w:jc w:val="center"/>
        </w:trPr>
        <w:tc>
          <w:tcPr>
            <w:tcW w:w="6396"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55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99</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Pr>
        <w:rPr>
          <w:rFonts w:ascii="黑体" w:hAnsi="黑体" w:eastAsia="黑体"/>
        </w:rPr>
        <w:sectPr>
          <w:pgSz w:w="11906" w:h="16838"/>
          <w:pgMar w:top="1928" w:right="1531" w:bottom="1701" w:left="1531" w:header="737" w:footer="851" w:gutter="0"/>
          <w:cols w:space="720" w:num="1"/>
          <w:docGrid w:type="lines" w:linePitch="408" w:charSpace="0"/>
        </w:sectPr>
      </w:pPr>
    </w:p>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项目支出绩效评价报告</w:t>
      </w:r>
    </w:p>
    <w:p>
      <w:pPr>
        <w:spacing w:line="580" w:lineRule="exact"/>
        <w:rPr>
          <w:rFonts w:ascii="仿宋_GB2312" w:eastAsia="仿宋_GB2312"/>
          <w:sz w:val="32"/>
          <w:szCs w:val="32"/>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项目名称：城乡居民基本医疗保险</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主要内容：用于参保缴费人员区级配套资金，特殊人群政府代缴。</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年度预算数：45万元</w:t>
      </w:r>
    </w:p>
    <w:p>
      <w:pPr>
        <w:spacing w:line="600" w:lineRule="exact"/>
        <w:ind w:firstLine="640" w:firstLineChars="200"/>
        <w:outlineLvl w:val="0"/>
        <w:rPr>
          <w:rFonts w:hint="eastAsia" w:ascii="仿宋_GB2312" w:eastAsia="宋体"/>
          <w:sz w:val="32"/>
          <w:szCs w:val="32"/>
          <w:lang w:val="en-US" w:eastAsia="zh-CN"/>
        </w:rPr>
      </w:pPr>
      <w:r>
        <w:rPr>
          <w:rFonts w:hint="eastAsia" w:ascii="仿宋_GB2312" w:eastAsia="仿宋_GB2312"/>
          <w:sz w:val="32"/>
          <w:szCs w:val="32"/>
          <w:lang w:val="en-US" w:eastAsia="zh-CN"/>
        </w:rPr>
        <w:t>全年执行数43.42</w:t>
      </w:r>
      <w:r>
        <w:rPr>
          <w:rFonts w:hint="eastAsia" w:ascii="仿宋_GB2312" w:hAnsi="仿宋_GB2312" w:eastAsia="仿宋_GB2312" w:cs="仿宋_GB2312"/>
          <w:kern w:val="0"/>
          <w:sz w:val="32"/>
          <w:szCs w:val="32"/>
          <w:lang w:val="en-US" w:eastAsia="zh-CN"/>
        </w:rPr>
        <w:t>万元</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w:t>
      </w:r>
    </w:p>
    <w:p>
      <w:pPr>
        <w:numPr>
          <w:ilvl w:val="0"/>
          <w:numId w:val="0"/>
        </w:numPr>
        <w:spacing w:line="60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拨付城乡居民医疗保险区级配套资金，特殊人群政府代缴资金。</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二、绩效评价工作开展情况</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rPr>
        <w:t>（一）绩效评价目的、对象和范围</w:t>
      </w:r>
      <w:r>
        <w:rPr>
          <w:rFonts w:hint="eastAsia" w:ascii="仿宋_GB2312" w:eastAsia="仿宋_GB2312"/>
          <w:sz w:val="32"/>
          <w:szCs w:val="32"/>
          <w:lang w:val="en-US" w:eastAsia="zh-CN"/>
        </w:rPr>
        <w:t>:城乡居民基本医疗保险</w:t>
      </w:r>
    </w:p>
    <w:p>
      <w:pPr>
        <w:spacing w:line="600" w:lineRule="exact"/>
        <w:rPr>
          <w:rFonts w:ascii="仿宋_GB2312" w:eastAsia="仿宋_GB2312"/>
          <w:sz w:val="32"/>
          <w:szCs w:val="32"/>
        </w:rPr>
      </w:pPr>
      <w:r>
        <w:rPr>
          <w:rFonts w:hint="eastAsia" w:ascii="仿宋_GB2312" w:eastAsia="仿宋_GB2312"/>
          <w:sz w:val="32"/>
          <w:szCs w:val="32"/>
          <w:lang w:val="en-US" w:eastAsia="zh-CN"/>
        </w:rPr>
        <w:t>支出</w:t>
      </w:r>
      <w:r>
        <w:rPr>
          <w:rFonts w:hint="eastAsia" w:ascii="仿宋_GB2312" w:hAnsi="仿宋_GB2312" w:eastAsia="仿宋_GB2312" w:cs="仿宋_GB2312"/>
          <w:kern w:val="0"/>
          <w:sz w:val="32"/>
          <w:szCs w:val="32"/>
          <w:lang w:val="en-US" w:eastAsia="zh-CN"/>
        </w:rPr>
        <w:t>43.42</w:t>
      </w:r>
      <w:r>
        <w:rPr>
          <w:rFonts w:hint="eastAsia" w:ascii="仿宋_GB2312" w:eastAsia="仿宋_GB2312"/>
          <w:sz w:val="32"/>
          <w:szCs w:val="32"/>
          <w:lang w:val="en-US" w:eastAsia="zh-CN"/>
        </w:rPr>
        <w:t>万元。</w:t>
      </w:r>
    </w:p>
    <w:p>
      <w:pPr>
        <w:spacing w:line="580" w:lineRule="exact"/>
        <w:ind w:firstLine="640"/>
        <w:jc w:val="center"/>
        <w:rPr>
          <w:rFonts w:hint="eastAsia" w:ascii="仿宋_GB2312" w:eastAsia="仿宋_GB2312"/>
          <w:sz w:val="32"/>
          <w:szCs w:val="32"/>
        </w:rPr>
      </w:pPr>
      <w:r>
        <w:rPr>
          <w:rFonts w:hint="eastAsia" w:ascii="仿宋_GB2312" w:eastAsia="仿宋_GB2312"/>
          <w:sz w:val="32"/>
          <w:szCs w:val="32"/>
        </w:rPr>
        <w:t>（二）绩效评价原则、评价指标体系、评价方法、评价标</w:t>
      </w:r>
    </w:p>
    <w:p>
      <w:pPr>
        <w:spacing w:line="580" w:lineRule="exact"/>
        <w:jc w:val="both"/>
        <w:rPr>
          <w:rFonts w:hint="eastAsia" w:ascii="仿宋_GB2312" w:eastAsia="仿宋_GB2312"/>
          <w:sz w:val="32"/>
          <w:szCs w:val="32"/>
        </w:rPr>
      </w:pPr>
      <w:r>
        <w:rPr>
          <w:rFonts w:hint="eastAsia" w:ascii="仿宋_GB2312" w:eastAsia="仿宋_GB2312"/>
          <w:sz w:val="32"/>
          <w:szCs w:val="32"/>
        </w:rPr>
        <w:t>准</w:t>
      </w:r>
      <w:r>
        <w:rPr>
          <w:rFonts w:hint="eastAsia" w:ascii="仿宋_GB2312" w:eastAsia="仿宋_GB2312"/>
          <w:sz w:val="32"/>
          <w:szCs w:val="32"/>
          <w:lang w:eastAsia="zh-CN"/>
        </w:rPr>
        <w:t>：《</w:t>
      </w:r>
      <w:r>
        <w:rPr>
          <w:rFonts w:hint="eastAsia" w:ascii="仿宋_GB2312" w:eastAsia="仿宋_GB2312"/>
          <w:sz w:val="32"/>
          <w:szCs w:val="32"/>
        </w:rPr>
        <w:t>唐山国际旅游岛项目支出绩效自评管理办法</w:t>
      </w:r>
      <w:r>
        <w:rPr>
          <w:rFonts w:hint="eastAsia" w:ascii="仿宋_GB2312" w:eastAsia="仿宋_GB2312"/>
          <w:sz w:val="32"/>
          <w:szCs w:val="32"/>
          <w:lang w:eastAsia="zh-CN"/>
        </w:rPr>
        <w:t>》</w:t>
      </w:r>
      <w:r>
        <w:rPr>
          <w:rFonts w:hint="eastAsia" w:ascii="仿宋_GB2312" w:eastAsia="仿宋_GB2312"/>
          <w:sz w:val="32"/>
          <w:szCs w:val="32"/>
        </w:rPr>
        <w:t>。</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（三）绩效评价工作过程</w:t>
      </w:r>
      <w:r>
        <w:rPr>
          <w:rFonts w:hint="eastAsia" w:ascii="仿宋_GB2312" w:eastAsia="仿宋_GB2312"/>
          <w:sz w:val="32"/>
          <w:szCs w:val="32"/>
          <w:lang w:eastAsia="zh-CN"/>
        </w:rPr>
        <w:t>：按照《</w:t>
      </w:r>
      <w:r>
        <w:rPr>
          <w:rFonts w:hint="eastAsia" w:ascii="仿宋_GB2312" w:eastAsia="仿宋_GB2312"/>
          <w:sz w:val="32"/>
          <w:szCs w:val="32"/>
        </w:rPr>
        <w:t>唐山国际旅游岛项目支出绩效自评管理办法</w:t>
      </w:r>
      <w:r>
        <w:rPr>
          <w:rFonts w:hint="eastAsia" w:ascii="仿宋_GB2312" w:eastAsia="仿宋_GB2312"/>
          <w:sz w:val="32"/>
          <w:szCs w:val="32"/>
          <w:lang w:eastAsia="zh-CN"/>
        </w:rPr>
        <w:t>》要求，准备相关资料，进行绩效自评，绩效自评工作严格按要求进行资料收集、整理和分析，保证了数据资料的</w:t>
      </w:r>
      <w:r>
        <w:rPr>
          <w:rFonts w:hint="eastAsia" w:ascii="仿宋_GB2312" w:eastAsia="仿宋_GB2312"/>
          <w:sz w:val="32"/>
          <w:szCs w:val="32"/>
          <w:lang w:val="en-US" w:eastAsia="zh-CN"/>
        </w:rPr>
        <w:t>真实</w:t>
      </w:r>
      <w:r>
        <w:rPr>
          <w:rFonts w:hint="eastAsia" w:ascii="仿宋_GB2312" w:eastAsia="仿宋_GB2312"/>
          <w:sz w:val="32"/>
          <w:szCs w:val="32"/>
          <w:lang w:eastAsia="zh-CN"/>
        </w:rPr>
        <w:t>、准确</w:t>
      </w:r>
      <w:r>
        <w:rPr>
          <w:rFonts w:hint="eastAsia" w:ascii="仿宋_GB2312" w:eastAsia="仿宋_GB2312"/>
          <w:sz w:val="32"/>
          <w:szCs w:val="32"/>
        </w:rPr>
        <w:t>。</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三、综合评价情况及评价结论</w:t>
      </w:r>
    </w:p>
    <w:p>
      <w:pPr>
        <w:spacing w:line="600" w:lineRule="exact"/>
        <w:ind w:firstLine="640" w:firstLineChars="200"/>
        <w:rPr>
          <w:rFonts w:hint="eastAsia" w:ascii="黑体" w:hAnsi="黑体" w:eastAsia="黑体"/>
          <w:sz w:val="32"/>
          <w:szCs w:val="32"/>
        </w:rPr>
      </w:pPr>
      <w:r>
        <w:rPr>
          <w:rFonts w:hint="eastAsia" w:ascii="仿宋_GB2312" w:eastAsia="仿宋_GB2312"/>
          <w:sz w:val="32"/>
          <w:szCs w:val="32"/>
          <w:lang w:eastAsia="zh-CN"/>
        </w:rPr>
        <w:t>已完成</w:t>
      </w:r>
      <w:r>
        <w:rPr>
          <w:rFonts w:hint="eastAsia" w:ascii="仿宋_GB2312" w:eastAsia="仿宋_GB2312"/>
          <w:sz w:val="32"/>
          <w:szCs w:val="32"/>
          <w:lang w:val="en-US" w:eastAsia="zh-CN"/>
        </w:rPr>
        <w:t>城乡居民医疗保险区级配套资金，特殊人群政府代缴资金拨付。</w:t>
      </w:r>
      <w:r>
        <w:rPr>
          <w:rFonts w:hint="eastAsia" w:ascii="仿宋_GB2312" w:eastAsia="仿宋_GB2312"/>
          <w:sz w:val="32"/>
          <w:szCs w:val="32"/>
          <w:lang w:eastAsia="zh-CN"/>
        </w:rPr>
        <w:t>预算执行率</w:t>
      </w:r>
      <w:r>
        <w:rPr>
          <w:rFonts w:hint="eastAsia" w:ascii="仿宋_GB2312" w:eastAsia="仿宋_GB2312"/>
          <w:sz w:val="32"/>
          <w:szCs w:val="32"/>
          <w:lang w:val="en-US" w:eastAsia="zh-CN"/>
        </w:rPr>
        <w:t>96.48%，得分9.6，绩效指标得分100，总分99。</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四、绩效评价指标分析</w:t>
      </w:r>
    </w:p>
    <w:p>
      <w:pPr>
        <w:rPr>
          <w:rFonts w:hint="eastAsia" w:ascii="仿宋_GB2312" w:eastAsia="仿宋_GB2312"/>
          <w:sz w:val="32"/>
          <w:szCs w:val="32"/>
          <w:lang w:eastAsia="zh-CN"/>
        </w:rPr>
      </w:pPr>
      <w:r>
        <w:rPr>
          <w:rFonts w:hint="eastAsia" w:ascii="仿宋_GB2312" w:eastAsia="仿宋_GB2312"/>
          <w:sz w:val="32"/>
          <w:szCs w:val="32"/>
        </w:rPr>
        <w:t>（一）项目决策</w:t>
      </w:r>
      <w:r>
        <w:rPr>
          <w:rFonts w:hint="eastAsia" w:ascii="仿宋_GB2312" w:eastAsia="仿宋_GB2312"/>
          <w:sz w:val="32"/>
          <w:szCs w:val="32"/>
          <w:lang w:eastAsia="zh-CN"/>
        </w:rPr>
        <w:t>：</w:t>
      </w:r>
    </w:p>
    <w:p>
      <w:pPr>
        <w:ind w:firstLine="640" w:firstLineChars="200"/>
        <w:rPr>
          <w:rFonts w:hint="eastAsia" w:ascii="仿宋" w:hAnsi="仿宋" w:eastAsia="仿宋" w:cs="仿宋"/>
          <w:sz w:val="32"/>
          <w:szCs w:val="32"/>
          <w:lang w:val="en-US" w:eastAsia="zh-CN"/>
        </w:rPr>
      </w:pPr>
      <w:r>
        <w:rPr>
          <w:rFonts w:hint="eastAsia" w:ascii="仿宋_GB2312" w:eastAsia="仿宋_GB2312"/>
          <w:sz w:val="32"/>
          <w:szCs w:val="32"/>
          <w:lang w:val="en-US" w:eastAsia="zh-CN"/>
        </w:rPr>
        <w:t>1、</w:t>
      </w:r>
      <w:r>
        <w:rPr>
          <w:rFonts w:hint="eastAsia" w:ascii="仿宋_GB2312" w:hAnsi="仿宋_GB2312" w:eastAsia="仿宋_GB2312" w:cs="仿宋_GB2312"/>
          <w:sz w:val="32"/>
          <w:szCs w:val="32"/>
          <w:lang w:val="zh-CN"/>
        </w:rPr>
        <w:t>根据唐山市人民政府办公室关于印发《唐山市基本公共服务领域市以下共同财政事权和支出责任划分改革实施方案》的通知（唐政办字【2019】45号），城乡居民基本医疗保险补助执行中央制定国家基础标准，所需经费中央与地方按6：4分担。地方分担部分，省与直管县按2：2分担；市辖区所需经费市与区1.5：2.5分担。</w:t>
      </w:r>
    </w:p>
    <w:p>
      <w:pPr>
        <w:keepNext w:val="0"/>
        <w:keepLines w:val="0"/>
        <w:pageBreakBefore w:val="0"/>
        <w:widowControl/>
        <w:kinsoku/>
        <w:wordWrap/>
        <w:overflowPunct/>
        <w:topLinePunct w:val="0"/>
        <w:autoSpaceDE/>
        <w:autoSpaceDN/>
        <w:bidi w:val="0"/>
        <w:adjustRightInd w:val="0"/>
        <w:snapToGrid w:val="0"/>
        <w:spacing w:after="0" w:line="360" w:lineRule="auto"/>
        <w:ind w:left="0" w:leftChars="0" w:right="0" w:rightChars="0" w:firstLine="640" w:firstLineChars="200"/>
        <w:jc w:val="both"/>
        <w:textAlignment w:val="auto"/>
        <w:rPr>
          <w:rFonts w:hint="eastAsia" w:ascii="仿宋" w:hAnsi="仿宋" w:eastAsia="仿宋" w:cs="仿宋"/>
          <w:b w:val="0"/>
          <w:bCs w:val="0"/>
          <w:sz w:val="32"/>
          <w:szCs w:val="32"/>
          <w:lang w:val="en-US" w:eastAsia="zh-CN"/>
        </w:rPr>
      </w:pPr>
      <w:r>
        <w:rPr>
          <w:rFonts w:hint="eastAsia" w:ascii="仿宋" w:hAnsi="仿宋" w:eastAsia="仿宋" w:cs="仿宋"/>
          <w:sz w:val="32"/>
          <w:szCs w:val="32"/>
          <w:lang w:val="en-US" w:eastAsia="zh-CN"/>
        </w:rPr>
        <w:t>2、2022年城乡居民医疗保险个人缴费标准为340元，</w:t>
      </w:r>
      <w:r>
        <w:rPr>
          <w:rFonts w:hint="eastAsia" w:ascii="仿宋" w:hAnsi="仿宋" w:eastAsia="仿宋" w:cs="仿宋"/>
          <w:b w:val="0"/>
          <w:bCs w:val="0"/>
          <w:sz w:val="32"/>
          <w:szCs w:val="32"/>
          <w:lang w:val="en-US" w:eastAsia="zh-CN"/>
        </w:rPr>
        <w:t>特殊人群个人缴费部分由县区财政负担。</w:t>
      </w:r>
    </w:p>
    <w:p>
      <w:pPr>
        <w:keepNext w:val="0"/>
        <w:keepLines w:val="0"/>
        <w:pageBreakBefore w:val="0"/>
        <w:widowControl/>
        <w:kinsoku/>
        <w:wordWrap/>
        <w:overflowPunct/>
        <w:topLinePunct w:val="0"/>
        <w:autoSpaceDE/>
        <w:autoSpaceDN/>
        <w:bidi w:val="0"/>
        <w:adjustRightInd w:val="0"/>
        <w:snapToGrid w:val="0"/>
        <w:spacing w:after="0" w:line="360" w:lineRule="auto"/>
        <w:ind w:left="0" w:leftChars="0" w:right="0" w:rightChars="0" w:firstLine="640" w:firstLineChars="200"/>
        <w:jc w:val="both"/>
        <w:textAlignment w:val="auto"/>
        <w:rPr>
          <w:rFonts w:ascii="仿宋_GB2312" w:eastAsia="仿宋_GB2312"/>
          <w:sz w:val="32"/>
          <w:szCs w:val="32"/>
        </w:rPr>
      </w:pPr>
      <w:r>
        <w:rPr>
          <w:rFonts w:hint="eastAsia" w:ascii="仿宋_GB2312" w:eastAsia="仿宋_GB2312"/>
          <w:sz w:val="32"/>
          <w:szCs w:val="32"/>
        </w:rPr>
        <w:t>（二）项目过程</w:t>
      </w:r>
      <w:r>
        <w:rPr>
          <w:rFonts w:hint="eastAsia" w:ascii="仿宋_GB2312" w:eastAsia="仿宋_GB2312"/>
          <w:sz w:val="32"/>
          <w:szCs w:val="32"/>
          <w:lang w:eastAsia="zh-CN"/>
        </w:rPr>
        <w:t>：</w:t>
      </w:r>
      <w:r>
        <w:rPr>
          <w:rFonts w:hint="eastAsia" w:ascii="仿宋_GB2312" w:eastAsia="仿宋_GB2312"/>
          <w:sz w:val="32"/>
          <w:szCs w:val="32"/>
          <w:lang w:val="en-US" w:eastAsia="zh-CN"/>
        </w:rPr>
        <w:t>及时拨付配套资金及特殊人群代缴资金</w:t>
      </w:r>
      <w:r>
        <w:rPr>
          <w:rFonts w:hint="eastAsia" w:ascii="仿宋_GB2312" w:eastAsia="仿宋_GB2312"/>
          <w:sz w:val="32"/>
          <w:szCs w:val="32"/>
          <w:lang w:eastAsia="zh-CN"/>
        </w:rPr>
        <w:t>。</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rPr>
        <w:t>（三）项目产出</w:t>
      </w:r>
      <w:r>
        <w:rPr>
          <w:rFonts w:hint="eastAsia" w:ascii="仿宋_GB2312" w:eastAsia="仿宋_GB2312"/>
          <w:sz w:val="32"/>
          <w:szCs w:val="32"/>
          <w:lang w:eastAsia="zh-CN"/>
        </w:rPr>
        <w:t>：该项目财政投入</w:t>
      </w:r>
      <w:r>
        <w:rPr>
          <w:rFonts w:hint="eastAsia" w:ascii="仿宋_GB2312" w:hAnsi="仿宋_GB2312" w:eastAsia="仿宋_GB2312" w:cs="仿宋_GB2312"/>
          <w:kern w:val="0"/>
          <w:sz w:val="32"/>
          <w:szCs w:val="32"/>
          <w:lang w:val="en-US" w:eastAsia="zh-CN"/>
        </w:rPr>
        <w:t>45</w:t>
      </w:r>
      <w:r>
        <w:rPr>
          <w:rFonts w:hint="eastAsia" w:ascii="仿宋_GB2312" w:eastAsia="仿宋_GB2312"/>
          <w:sz w:val="32"/>
          <w:szCs w:val="32"/>
          <w:lang w:val="en-US" w:eastAsia="zh-CN"/>
        </w:rPr>
        <w:t>万元，受益人群2687多人，</w:t>
      </w:r>
      <w:r>
        <w:rPr>
          <w:rFonts w:hint="eastAsia" w:ascii="仿宋_GB2312" w:eastAsia="仿宋_GB2312"/>
          <w:sz w:val="32"/>
          <w:szCs w:val="32"/>
          <w:lang w:eastAsia="zh-CN"/>
        </w:rPr>
        <w:t>资金</w:t>
      </w:r>
      <w:r>
        <w:rPr>
          <w:rFonts w:hint="eastAsia" w:ascii="仿宋_GB2312" w:eastAsia="仿宋_GB2312"/>
          <w:sz w:val="32"/>
          <w:szCs w:val="32"/>
          <w:lang w:val="en-US" w:eastAsia="zh-CN"/>
        </w:rPr>
        <w:t>拨付</w:t>
      </w:r>
      <w:r>
        <w:rPr>
          <w:rFonts w:hint="eastAsia" w:ascii="仿宋_GB2312" w:eastAsia="仿宋_GB2312"/>
          <w:sz w:val="32"/>
          <w:szCs w:val="32"/>
          <w:lang w:eastAsia="zh-CN"/>
        </w:rPr>
        <w:t>及时准确。</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w:t>
      </w:r>
      <w:r>
        <w:rPr>
          <w:rFonts w:hint="eastAsia" w:ascii="仿宋_GB2312" w:eastAsia="仿宋_GB2312"/>
          <w:sz w:val="32"/>
          <w:szCs w:val="32"/>
          <w:lang w:eastAsia="zh-CN"/>
        </w:rPr>
        <w:t>：该项目服务对象满意度</w:t>
      </w:r>
      <w:r>
        <w:rPr>
          <w:rFonts w:hint="eastAsia" w:ascii="仿宋_GB2312" w:eastAsia="仿宋_GB2312"/>
          <w:sz w:val="32"/>
          <w:szCs w:val="32"/>
          <w:lang w:val="en-US" w:eastAsia="zh-CN"/>
        </w:rPr>
        <w:t>100%，未出现</w:t>
      </w:r>
      <w:r>
        <w:rPr>
          <w:rFonts w:hint="eastAsia" w:ascii="仿宋_GB2312" w:eastAsia="仿宋_GB2312"/>
          <w:sz w:val="32"/>
          <w:szCs w:val="32"/>
          <w:lang w:eastAsia="zh-CN"/>
        </w:rPr>
        <w:t>困难群众信访事件。</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五、主要经验及做法、存在的问题及原因分析</w:t>
      </w:r>
    </w:p>
    <w:p>
      <w:pPr>
        <w:spacing w:line="600" w:lineRule="exact"/>
        <w:ind w:firstLine="640" w:firstLineChars="200"/>
        <w:rPr>
          <w:rFonts w:hint="eastAsia" w:ascii="黑体" w:hAnsi="黑体" w:eastAsia="黑体"/>
          <w:sz w:val="32"/>
          <w:szCs w:val="32"/>
          <w:lang w:val="en-US" w:eastAsia="zh-CN"/>
        </w:rPr>
      </w:pPr>
      <w:r>
        <w:rPr>
          <w:rFonts w:hint="eastAsia" w:ascii="仿宋_GB2312" w:eastAsia="仿宋_GB2312"/>
          <w:sz w:val="32"/>
          <w:szCs w:val="32"/>
          <w:lang w:val="en-US" w:eastAsia="zh-CN"/>
        </w:rPr>
        <w:t>无</w:t>
      </w:r>
    </w:p>
    <w:p>
      <w:pPr>
        <w:numPr>
          <w:ilvl w:val="0"/>
          <w:numId w:val="2"/>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有关建议</w:t>
      </w:r>
    </w:p>
    <w:p>
      <w:pPr>
        <w:numPr>
          <w:ilvl w:val="0"/>
          <w:numId w:val="0"/>
        </w:numPr>
        <w:spacing w:line="600" w:lineRule="exact"/>
        <w:ind w:firstLine="640" w:firstLineChars="200"/>
        <w:rPr>
          <w:rFonts w:ascii="黑体" w:hAnsi="黑体" w:eastAsia="黑体"/>
          <w:sz w:val="32"/>
          <w:szCs w:val="32"/>
        </w:rPr>
      </w:pPr>
      <w:r>
        <w:rPr>
          <w:rFonts w:hint="eastAsia" w:ascii="仿宋_GB2312" w:eastAsia="仿宋_GB2312"/>
          <w:sz w:val="32"/>
          <w:szCs w:val="32"/>
          <w:lang w:val="en-US" w:eastAsia="zh-CN"/>
        </w:rPr>
        <w:t>无</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七、其他需要说明的问题</w:t>
      </w:r>
    </w:p>
    <w:p>
      <w:pPr>
        <w:spacing w:line="600" w:lineRule="exact"/>
        <w:ind w:firstLine="640" w:firstLineChars="200"/>
        <w:rPr>
          <w:rFonts w:ascii="仿宋_GB2312" w:eastAsia="仿宋_GB2312"/>
          <w:bCs/>
          <w:sz w:val="32"/>
          <w:szCs w:val="32"/>
        </w:rPr>
      </w:pPr>
      <w:r>
        <w:rPr>
          <w:rFonts w:hint="eastAsia" w:ascii="仿宋_GB2312" w:eastAsia="仿宋_GB2312"/>
          <w:sz w:val="32"/>
          <w:szCs w:val="32"/>
          <w:lang w:val="en-US" w:eastAsia="zh-CN"/>
        </w:rPr>
        <w:t>无</w:t>
      </w:r>
    </w:p>
    <w:p>
      <w:pPr>
        <w:spacing w:line="580" w:lineRule="exact"/>
        <w:rPr>
          <w:rFonts w:ascii="仿宋_GB2312" w:eastAsia="仿宋_GB2312"/>
          <w:sz w:val="32"/>
          <w:szCs w:val="32"/>
        </w:rPr>
      </w:pPr>
    </w:p>
    <w:p>
      <w:pPr>
        <w:spacing w:line="580" w:lineRule="exact"/>
        <w:rPr>
          <w:rFonts w:ascii="仿宋_GB2312" w:eastAsia="仿宋_GB2312"/>
          <w:sz w:val="32"/>
          <w:szCs w:val="32"/>
        </w:rPr>
      </w:pPr>
    </w:p>
    <w:sectPr>
      <w:pgSz w:w="12240" w:h="15840"/>
      <w:pgMar w:top="1440" w:right="1800" w:bottom="1440" w:left="180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C9A322"/>
    <w:multiLevelType w:val="singleLevel"/>
    <w:tmpl w:val="8CC9A322"/>
    <w:lvl w:ilvl="0" w:tentative="0">
      <w:start w:val="6"/>
      <w:numFmt w:val="chineseCounting"/>
      <w:suff w:val="nothing"/>
      <w:lvlText w:val="%1、"/>
      <w:lvlJc w:val="left"/>
      <w:rPr>
        <w:rFonts w:hint="eastAsia"/>
      </w:rPr>
    </w:lvl>
  </w:abstractNum>
  <w:abstractNum w:abstractNumId="1">
    <w:nsid w:val="756B91BF"/>
    <w:multiLevelType w:val="singleLevel"/>
    <w:tmpl w:val="756B91BF"/>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2RlODdkYmZmNzk3MjZjMzQyMzJjMWQ0YWEyNTI0NjEifQ=="/>
  </w:docVars>
  <w:rsids>
    <w:rsidRoot w:val="007E6B24"/>
    <w:rsid w:val="0000746E"/>
    <w:rsid w:val="00033E0F"/>
    <w:rsid w:val="00064D68"/>
    <w:rsid w:val="0006565C"/>
    <w:rsid w:val="00066713"/>
    <w:rsid w:val="000A5E9A"/>
    <w:rsid w:val="000B60E6"/>
    <w:rsid w:val="000D3A97"/>
    <w:rsid w:val="000D49BD"/>
    <w:rsid w:val="000E10B8"/>
    <w:rsid w:val="000E569B"/>
    <w:rsid w:val="000F6F8C"/>
    <w:rsid w:val="001133E5"/>
    <w:rsid w:val="00132647"/>
    <w:rsid w:val="00146629"/>
    <w:rsid w:val="00153064"/>
    <w:rsid w:val="00161FC6"/>
    <w:rsid w:val="00163BC6"/>
    <w:rsid w:val="00185862"/>
    <w:rsid w:val="0018607D"/>
    <w:rsid w:val="001D002B"/>
    <w:rsid w:val="001D006D"/>
    <w:rsid w:val="001E2E91"/>
    <w:rsid w:val="001E4817"/>
    <w:rsid w:val="001F45DC"/>
    <w:rsid w:val="0020223B"/>
    <w:rsid w:val="0021422A"/>
    <w:rsid w:val="002219D2"/>
    <w:rsid w:val="00223E0A"/>
    <w:rsid w:val="00226D6F"/>
    <w:rsid w:val="002404A4"/>
    <w:rsid w:val="00245C3E"/>
    <w:rsid w:val="00262183"/>
    <w:rsid w:val="00263CF3"/>
    <w:rsid w:val="002874FC"/>
    <w:rsid w:val="00292FF2"/>
    <w:rsid w:val="00294765"/>
    <w:rsid w:val="0029535F"/>
    <w:rsid w:val="002A4AA4"/>
    <w:rsid w:val="002B05F9"/>
    <w:rsid w:val="002B10AF"/>
    <w:rsid w:val="002B11A6"/>
    <w:rsid w:val="002C011C"/>
    <w:rsid w:val="002D20E2"/>
    <w:rsid w:val="002D288D"/>
    <w:rsid w:val="002D5F1D"/>
    <w:rsid w:val="002F1F58"/>
    <w:rsid w:val="0030704C"/>
    <w:rsid w:val="0031280E"/>
    <w:rsid w:val="00326462"/>
    <w:rsid w:val="0034058D"/>
    <w:rsid w:val="00352EDD"/>
    <w:rsid w:val="0035497E"/>
    <w:rsid w:val="00374AFC"/>
    <w:rsid w:val="0037791F"/>
    <w:rsid w:val="00390F4F"/>
    <w:rsid w:val="00392D62"/>
    <w:rsid w:val="00395610"/>
    <w:rsid w:val="003A0066"/>
    <w:rsid w:val="003C0BCA"/>
    <w:rsid w:val="003C0CE4"/>
    <w:rsid w:val="003C1BBF"/>
    <w:rsid w:val="003C6A62"/>
    <w:rsid w:val="003D7FB8"/>
    <w:rsid w:val="003E4CF1"/>
    <w:rsid w:val="003F4056"/>
    <w:rsid w:val="0040420D"/>
    <w:rsid w:val="00405B9D"/>
    <w:rsid w:val="00426AAA"/>
    <w:rsid w:val="00435FE0"/>
    <w:rsid w:val="00437D28"/>
    <w:rsid w:val="0044692E"/>
    <w:rsid w:val="00456157"/>
    <w:rsid w:val="004654C7"/>
    <w:rsid w:val="00473590"/>
    <w:rsid w:val="004B62A7"/>
    <w:rsid w:val="004C009B"/>
    <w:rsid w:val="004C64D4"/>
    <w:rsid w:val="004C6781"/>
    <w:rsid w:val="004E1C0C"/>
    <w:rsid w:val="004F3CC2"/>
    <w:rsid w:val="00531074"/>
    <w:rsid w:val="005418F0"/>
    <w:rsid w:val="005429C1"/>
    <w:rsid w:val="00555673"/>
    <w:rsid w:val="00556DD6"/>
    <w:rsid w:val="00566E51"/>
    <w:rsid w:val="00597150"/>
    <w:rsid w:val="005A46AB"/>
    <w:rsid w:val="005A6DF0"/>
    <w:rsid w:val="005E5552"/>
    <w:rsid w:val="005E7CB3"/>
    <w:rsid w:val="005E7FD5"/>
    <w:rsid w:val="00611D3E"/>
    <w:rsid w:val="00633F54"/>
    <w:rsid w:val="00642DFD"/>
    <w:rsid w:val="00650D9A"/>
    <w:rsid w:val="00653755"/>
    <w:rsid w:val="00660736"/>
    <w:rsid w:val="00674156"/>
    <w:rsid w:val="00685051"/>
    <w:rsid w:val="006852AC"/>
    <w:rsid w:val="00685548"/>
    <w:rsid w:val="006A4602"/>
    <w:rsid w:val="006B190A"/>
    <w:rsid w:val="006B37BE"/>
    <w:rsid w:val="006B6B57"/>
    <w:rsid w:val="006C072B"/>
    <w:rsid w:val="006D1615"/>
    <w:rsid w:val="006F79BB"/>
    <w:rsid w:val="00732289"/>
    <w:rsid w:val="007513D6"/>
    <w:rsid w:val="007632B1"/>
    <w:rsid w:val="00770F76"/>
    <w:rsid w:val="0078625F"/>
    <w:rsid w:val="007A5561"/>
    <w:rsid w:val="007C6528"/>
    <w:rsid w:val="007C7E41"/>
    <w:rsid w:val="007E6B24"/>
    <w:rsid w:val="00803339"/>
    <w:rsid w:val="00835D25"/>
    <w:rsid w:val="0084364A"/>
    <w:rsid w:val="00853CD8"/>
    <w:rsid w:val="00854DA3"/>
    <w:rsid w:val="00856852"/>
    <w:rsid w:val="00857512"/>
    <w:rsid w:val="00872708"/>
    <w:rsid w:val="00885E5D"/>
    <w:rsid w:val="00887CC0"/>
    <w:rsid w:val="008C4E87"/>
    <w:rsid w:val="008E1C28"/>
    <w:rsid w:val="008E40B5"/>
    <w:rsid w:val="008F436A"/>
    <w:rsid w:val="00900530"/>
    <w:rsid w:val="00900815"/>
    <w:rsid w:val="00922E40"/>
    <w:rsid w:val="0093544C"/>
    <w:rsid w:val="00936AFC"/>
    <w:rsid w:val="00943FE6"/>
    <w:rsid w:val="009748FF"/>
    <w:rsid w:val="009844FF"/>
    <w:rsid w:val="0098463C"/>
    <w:rsid w:val="009B2FC3"/>
    <w:rsid w:val="009B3D8B"/>
    <w:rsid w:val="009C3CCA"/>
    <w:rsid w:val="009C702C"/>
    <w:rsid w:val="009E13F7"/>
    <w:rsid w:val="009E2A93"/>
    <w:rsid w:val="009F44F6"/>
    <w:rsid w:val="00A01F87"/>
    <w:rsid w:val="00A23AB2"/>
    <w:rsid w:val="00A40586"/>
    <w:rsid w:val="00A452F3"/>
    <w:rsid w:val="00A71FC0"/>
    <w:rsid w:val="00A72D00"/>
    <w:rsid w:val="00AA4B54"/>
    <w:rsid w:val="00AD331D"/>
    <w:rsid w:val="00AE52F5"/>
    <w:rsid w:val="00AE6BCF"/>
    <w:rsid w:val="00AE7D2A"/>
    <w:rsid w:val="00AF1C2F"/>
    <w:rsid w:val="00B06ACE"/>
    <w:rsid w:val="00B114DF"/>
    <w:rsid w:val="00B17CC2"/>
    <w:rsid w:val="00B22173"/>
    <w:rsid w:val="00B27782"/>
    <w:rsid w:val="00B31BE7"/>
    <w:rsid w:val="00B36D6C"/>
    <w:rsid w:val="00B473F7"/>
    <w:rsid w:val="00B64C71"/>
    <w:rsid w:val="00B8304E"/>
    <w:rsid w:val="00B942C4"/>
    <w:rsid w:val="00BA30BC"/>
    <w:rsid w:val="00BA666E"/>
    <w:rsid w:val="00BB14D1"/>
    <w:rsid w:val="00BB24DF"/>
    <w:rsid w:val="00BB63F9"/>
    <w:rsid w:val="00BB7F2A"/>
    <w:rsid w:val="00BD7738"/>
    <w:rsid w:val="00BE155F"/>
    <w:rsid w:val="00BE7319"/>
    <w:rsid w:val="00BF4B02"/>
    <w:rsid w:val="00C021D1"/>
    <w:rsid w:val="00C03AB4"/>
    <w:rsid w:val="00C117D7"/>
    <w:rsid w:val="00C132F4"/>
    <w:rsid w:val="00C17B63"/>
    <w:rsid w:val="00C24242"/>
    <w:rsid w:val="00C261C8"/>
    <w:rsid w:val="00C405CA"/>
    <w:rsid w:val="00C45F19"/>
    <w:rsid w:val="00C55A86"/>
    <w:rsid w:val="00C66E0F"/>
    <w:rsid w:val="00C678ED"/>
    <w:rsid w:val="00C937A5"/>
    <w:rsid w:val="00CA14F3"/>
    <w:rsid w:val="00CE0196"/>
    <w:rsid w:val="00CE1F35"/>
    <w:rsid w:val="00CE3086"/>
    <w:rsid w:val="00CE5464"/>
    <w:rsid w:val="00CF27E1"/>
    <w:rsid w:val="00CF5C52"/>
    <w:rsid w:val="00D216E7"/>
    <w:rsid w:val="00D23395"/>
    <w:rsid w:val="00D42656"/>
    <w:rsid w:val="00D4349F"/>
    <w:rsid w:val="00D61F07"/>
    <w:rsid w:val="00D7101C"/>
    <w:rsid w:val="00D917C3"/>
    <w:rsid w:val="00D92E9F"/>
    <w:rsid w:val="00DA3251"/>
    <w:rsid w:val="00DE08F7"/>
    <w:rsid w:val="00E109A3"/>
    <w:rsid w:val="00E13530"/>
    <w:rsid w:val="00E262B7"/>
    <w:rsid w:val="00E3005B"/>
    <w:rsid w:val="00E321E1"/>
    <w:rsid w:val="00E34CD5"/>
    <w:rsid w:val="00E553CA"/>
    <w:rsid w:val="00E60832"/>
    <w:rsid w:val="00E61C6E"/>
    <w:rsid w:val="00E70384"/>
    <w:rsid w:val="00E7634B"/>
    <w:rsid w:val="00EA28C7"/>
    <w:rsid w:val="00ED356B"/>
    <w:rsid w:val="00ED6FB5"/>
    <w:rsid w:val="00EE79E8"/>
    <w:rsid w:val="00EF11EF"/>
    <w:rsid w:val="00EF3A29"/>
    <w:rsid w:val="00EF7B50"/>
    <w:rsid w:val="00F00F26"/>
    <w:rsid w:val="00F138FA"/>
    <w:rsid w:val="00F305FB"/>
    <w:rsid w:val="00F43390"/>
    <w:rsid w:val="00F5296A"/>
    <w:rsid w:val="00F7791B"/>
    <w:rsid w:val="00F82A62"/>
    <w:rsid w:val="00F96D1C"/>
    <w:rsid w:val="00FB0C5D"/>
    <w:rsid w:val="00FB3D0B"/>
    <w:rsid w:val="00FC2906"/>
    <w:rsid w:val="00FC5F30"/>
    <w:rsid w:val="00FC7F7B"/>
    <w:rsid w:val="00FD2FB7"/>
    <w:rsid w:val="00FD4185"/>
    <w:rsid w:val="00FD7791"/>
    <w:rsid w:val="00FE2C41"/>
    <w:rsid w:val="00FF2355"/>
    <w:rsid w:val="03605B2B"/>
    <w:rsid w:val="03D952EF"/>
    <w:rsid w:val="03FC318B"/>
    <w:rsid w:val="06BF57ED"/>
    <w:rsid w:val="07942CE6"/>
    <w:rsid w:val="08AA7D7D"/>
    <w:rsid w:val="0A4E2674"/>
    <w:rsid w:val="0F554B5A"/>
    <w:rsid w:val="164A5EAB"/>
    <w:rsid w:val="17146952"/>
    <w:rsid w:val="17BE191E"/>
    <w:rsid w:val="18873599"/>
    <w:rsid w:val="19727A08"/>
    <w:rsid w:val="1AB33EC8"/>
    <w:rsid w:val="1C442C51"/>
    <w:rsid w:val="1DC24F9A"/>
    <w:rsid w:val="20B954DA"/>
    <w:rsid w:val="22063947"/>
    <w:rsid w:val="251B6FD3"/>
    <w:rsid w:val="25974E59"/>
    <w:rsid w:val="295B2DEC"/>
    <w:rsid w:val="2A0E2EE6"/>
    <w:rsid w:val="2DA2424A"/>
    <w:rsid w:val="2F2F77E7"/>
    <w:rsid w:val="307751AF"/>
    <w:rsid w:val="31607D8A"/>
    <w:rsid w:val="31FD52DE"/>
    <w:rsid w:val="320F4D9B"/>
    <w:rsid w:val="339E6573"/>
    <w:rsid w:val="35F52FF5"/>
    <w:rsid w:val="389E00A4"/>
    <w:rsid w:val="3AEC43A8"/>
    <w:rsid w:val="3F1C0BCF"/>
    <w:rsid w:val="3F423EE6"/>
    <w:rsid w:val="428155B6"/>
    <w:rsid w:val="45C57431"/>
    <w:rsid w:val="46B41D9E"/>
    <w:rsid w:val="49874FB1"/>
    <w:rsid w:val="4AA16EC6"/>
    <w:rsid w:val="4C9A708A"/>
    <w:rsid w:val="539E448E"/>
    <w:rsid w:val="55613188"/>
    <w:rsid w:val="56127CD9"/>
    <w:rsid w:val="58752473"/>
    <w:rsid w:val="59633DCD"/>
    <w:rsid w:val="59666823"/>
    <w:rsid w:val="5B3F508F"/>
    <w:rsid w:val="5C4131A4"/>
    <w:rsid w:val="5D6253F1"/>
    <w:rsid w:val="5DFB70AF"/>
    <w:rsid w:val="656F3766"/>
    <w:rsid w:val="66256220"/>
    <w:rsid w:val="685B4680"/>
    <w:rsid w:val="6DC26FF5"/>
    <w:rsid w:val="6ED95550"/>
    <w:rsid w:val="6F0963B2"/>
    <w:rsid w:val="6F3434CF"/>
    <w:rsid w:val="6FCB6104"/>
    <w:rsid w:val="6FE567D6"/>
    <w:rsid w:val="742B44C5"/>
    <w:rsid w:val="749F3418"/>
    <w:rsid w:val="7661415D"/>
    <w:rsid w:val="785A27D3"/>
    <w:rsid w:val="794D00D2"/>
    <w:rsid w:val="7969230F"/>
    <w:rsid w:val="7C5A0E7C"/>
    <w:rsid w:val="7C9654E1"/>
    <w:rsid w:val="7EB83E52"/>
    <w:rsid w:val="7F7A5D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unhideWhenUsed/>
    <w:qFormat/>
    <w:uiPriority w:val="9"/>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8"/>
    <w:unhideWhenUsed/>
    <w:qFormat/>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kern w:val="0"/>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kern w:val="0"/>
      <w:sz w:val="18"/>
      <w:szCs w:val="18"/>
    </w:rPr>
  </w:style>
  <w:style w:type="character" w:customStyle="1" w:styleId="8">
    <w:name w:val="批注框文本 Char"/>
    <w:link w:val="3"/>
    <w:semiHidden/>
    <w:qFormat/>
    <w:uiPriority w:val="99"/>
    <w:rPr>
      <w:rFonts w:ascii="Times New Roman" w:hAnsi="Times New Roman"/>
      <w:kern w:val="2"/>
      <w:sz w:val="18"/>
      <w:szCs w:val="18"/>
    </w:rPr>
  </w:style>
  <w:style w:type="character" w:customStyle="1" w:styleId="9">
    <w:name w:val="页脚 Char"/>
    <w:link w:val="4"/>
    <w:qFormat/>
    <w:uiPriority w:val="99"/>
    <w:rPr>
      <w:rFonts w:ascii="Times New Roman" w:hAnsi="Times New Roman" w:eastAsia="宋体" w:cs="Times New Roman"/>
      <w:sz w:val="18"/>
      <w:szCs w:val="18"/>
    </w:rPr>
  </w:style>
  <w:style w:type="character" w:customStyle="1" w:styleId="10">
    <w:name w:val="页眉 Char"/>
    <w:link w:val="5"/>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A786F00E-3B41-481D-810C-44AFB9568D0F}">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4</Pages>
  <Words>1145</Words>
  <Characters>1258</Characters>
  <Lines>6</Lines>
  <Paragraphs>1</Paragraphs>
  <TotalTime>38</TotalTime>
  <ScaleCrop>false</ScaleCrop>
  <LinksUpToDate>false</LinksUpToDate>
  <CharactersWithSpaces>1267</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2020-01-07T07:50:00Z</dcterms:created>
  <dc:creator>[厅办公室][修宗睿]</dc:creator>
  <cp:lastModifiedBy>Empty  city °</cp:lastModifiedBy>
  <cp:lastPrinted>2020-04-14T01:56:00Z</cp:lastPrinted>
  <dcterms:modified xsi:type="dcterms:W3CDTF">2023-02-13T06:49:47Z</dcterms:modified>
  <dc:title>河北省财政厅文件</dc:title>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1465E6C19EC34A3787E909228A32E995</vt:lpwstr>
  </property>
</Properties>
</file>