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900" w:type="dxa"/>
        <w:jc w:val="center"/>
        <w:tblLayout w:type="fixed"/>
        <w:tblCellMar>
          <w:top w:w="0" w:type="dxa"/>
          <w:left w:w="108" w:type="dxa"/>
          <w:bottom w:w="0" w:type="dxa"/>
          <w:right w:w="108" w:type="dxa"/>
        </w:tblCellMar>
      </w:tblPr>
      <w:tblGrid>
        <w:gridCol w:w="576"/>
        <w:gridCol w:w="960"/>
        <w:gridCol w:w="1089"/>
        <w:gridCol w:w="716"/>
        <w:gridCol w:w="1111"/>
        <w:gridCol w:w="390"/>
        <w:gridCol w:w="722"/>
        <w:gridCol w:w="834"/>
        <w:gridCol w:w="277"/>
        <w:gridCol w:w="348"/>
        <w:gridCol w:w="346"/>
        <w:gridCol w:w="269"/>
        <w:gridCol w:w="565"/>
        <w:gridCol w:w="697"/>
      </w:tblGrid>
      <w:tr>
        <w:tblPrEx>
          <w:tblCellMar>
            <w:top w:w="0" w:type="dxa"/>
            <w:left w:w="108" w:type="dxa"/>
            <w:bottom w:w="0" w:type="dxa"/>
            <w:right w:w="108" w:type="dxa"/>
          </w:tblCellMar>
        </w:tblPrEx>
        <w:trPr>
          <w:trHeight w:val="518" w:hRule="exact"/>
          <w:jc w:val="center"/>
        </w:trPr>
        <w:tc>
          <w:tcPr>
            <w:tcW w:w="89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57" w:hRule="atLeast"/>
          <w:jc w:val="center"/>
        </w:trPr>
        <w:tc>
          <w:tcPr>
            <w:tcW w:w="89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2"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6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云视频网费</w:t>
            </w:r>
          </w:p>
        </w:tc>
      </w:tr>
      <w:tr>
        <w:tblPrEx>
          <w:tblCellMar>
            <w:top w:w="0" w:type="dxa"/>
            <w:left w:w="108" w:type="dxa"/>
            <w:bottom w:w="0" w:type="dxa"/>
            <w:right w:w="108" w:type="dxa"/>
          </w:tblCellMar>
        </w:tblPrEx>
        <w:trPr>
          <w:trHeight w:val="272" w:hRule="exact"/>
          <w:jc w:val="center"/>
        </w:trPr>
        <w:tc>
          <w:tcPr>
            <w:tcW w:w="15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153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r>
              <w:rPr>
                <w:rFonts w:hint="default" w:ascii="宋体" w:hAnsi="宋体" w:eastAsia="宋体" w:cs="宋体"/>
                <w:kern w:val="0"/>
                <w:sz w:val="18"/>
                <w:szCs w:val="18"/>
                <w:lang w:val="en-US" w:eastAsia="zh-CN"/>
              </w:rPr>
              <w:object>
                <v:shape id="_x0000_i1025" o:spt="75" type="#_x0000_t75" style="height:648pt;width:536.25pt;" o:ole="t" filled="f" o:preferrelative="t" stroked="f" coordsize="21600,21600">
                  <v:fill on="f" focussize="0,0"/>
                  <v:stroke on="f"/>
                  <v:imagedata r:id="rId5" o:title=""/>
                  <o:lock v:ext="edit" aspectratio="t"/>
                  <w10:wrap type="none"/>
                  <w10:anchorlock/>
                </v:shape>
                <o:OLEObject Type="Embed" ProgID="Word.Document.12" ShapeID="_x0000_i1025" DrawAspect="Content" ObjectID="_1468075725" r:id="rId4">
                  <o:LockedField>false</o:LockedField>
                </o:OLEObject>
              </w:object>
            </w: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2.16</w:t>
            </w: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153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2" w:hRule="exact"/>
          <w:jc w:val="center"/>
        </w:trPr>
        <w:tc>
          <w:tcPr>
            <w:tcW w:w="5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2" w:hRule="exact"/>
          <w:jc w:val="center"/>
        </w:trPr>
        <w:tc>
          <w:tcPr>
            <w:tcW w:w="5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用于我局会议室缴纳网费</w:t>
            </w:r>
          </w:p>
        </w:tc>
        <w:tc>
          <w:tcPr>
            <w:tcW w:w="33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2" w:hRule="exact"/>
          <w:jc w:val="center"/>
        </w:trPr>
        <w:tc>
          <w:tcPr>
            <w:tcW w:w="576"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217"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sz w:val="20"/>
                <w:szCs w:val="20"/>
                <w:lang w:eastAsia="zh-CN"/>
              </w:rPr>
              <w:t>用于</w:t>
            </w:r>
            <w:r>
              <w:rPr>
                <w:rFonts w:hint="eastAsia" w:ascii="宋体" w:hAnsi="宋体" w:cs="宋体"/>
                <w:color w:val="000000"/>
                <w:sz w:val="20"/>
                <w:szCs w:val="20"/>
                <w:lang w:val="en-US" w:eastAsia="zh-CN"/>
              </w:rPr>
              <w:t>2个会议室网费缴纳</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2.16</w:t>
            </w:r>
            <w:r>
              <w:rPr>
                <w:rFonts w:hint="eastAsia" w:ascii="宋体" w:hAnsi="宋体" w:cs="宋体"/>
                <w:color w:val="000000"/>
                <w:kern w:val="0"/>
                <w:sz w:val="18"/>
                <w:szCs w:val="18"/>
                <w:lang w:val="en-US" w:eastAsia="zh-CN"/>
              </w:rPr>
              <w:t>万元以内</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指标1：采购用品使用率</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2" w:hRule="exact"/>
          <w:jc w:val="center"/>
        </w:trPr>
        <w:tc>
          <w:tcPr>
            <w:tcW w:w="57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21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639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1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2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名称：云视频网费</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：用于我局会议室安装云视频会议设备的费用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2.16</w:t>
      </w:r>
      <w:r>
        <w:rPr>
          <w:rFonts w:hint="eastAsia" w:ascii="仿宋_GB2312" w:eastAsia="仿宋_GB2312"/>
          <w:sz w:val="32"/>
          <w:szCs w:val="32"/>
          <w:lang w:val="en-US" w:eastAsia="zh-CN"/>
        </w:rPr>
        <w:t>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w:t>
      </w:r>
      <w:r>
        <w:rPr>
          <w:rFonts w:hint="eastAsia" w:ascii="仿宋" w:hAnsi="仿宋" w:eastAsia="仿宋" w:cs="仿宋"/>
          <w:kern w:val="0"/>
          <w:sz w:val="32"/>
          <w:szCs w:val="32"/>
          <w:lang w:val="en-US" w:eastAsia="zh-CN"/>
        </w:rPr>
        <w:t>2.16</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用于我局会议室安装云视频会议设备的费用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2.16万元以内，按实际情况完成发放,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云视频网费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2.16</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2.16</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2.16</w:t>
      </w:r>
      <w:bookmarkStart w:id="0" w:name="_GoBack"/>
      <w:bookmarkEnd w:id="0"/>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保证按时发放此比资金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69129CB"/>
    <w:rsid w:val="18873599"/>
    <w:rsid w:val="19727A08"/>
    <w:rsid w:val="1A7E2ADF"/>
    <w:rsid w:val="1BCC4A42"/>
    <w:rsid w:val="1C442C51"/>
    <w:rsid w:val="1DC24F9A"/>
    <w:rsid w:val="20B954DA"/>
    <w:rsid w:val="22063947"/>
    <w:rsid w:val="25974E59"/>
    <w:rsid w:val="26137FF1"/>
    <w:rsid w:val="295B2DEC"/>
    <w:rsid w:val="2A9F38E6"/>
    <w:rsid w:val="2F254D83"/>
    <w:rsid w:val="2F6C672F"/>
    <w:rsid w:val="320F4D9B"/>
    <w:rsid w:val="339E6573"/>
    <w:rsid w:val="389E00A4"/>
    <w:rsid w:val="3AEC43A8"/>
    <w:rsid w:val="3C177780"/>
    <w:rsid w:val="3F1C0BCF"/>
    <w:rsid w:val="428155B6"/>
    <w:rsid w:val="45C57431"/>
    <w:rsid w:val="46B41D9E"/>
    <w:rsid w:val="46C63505"/>
    <w:rsid w:val="474340AE"/>
    <w:rsid w:val="49874FB1"/>
    <w:rsid w:val="4AA16EC6"/>
    <w:rsid w:val="4DF617C2"/>
    <w:rsid w:val="539E448E"/>
    <w:rsid w:val="56127CD9"/>
    <w:rsid w:val="59633DCD"/>
    <w:rsid w:val="59666823"/>
    <w:rsid w:val="5AC16E5A"/>
    <w:rsid w:val="5B3F508F"/>
    <w:rsid w:val="5C4131A4"/>
    <w:rsid w:val="5DFB70AF"/>
    <w:rsid w:val="656F3766"/>
    <w:rsid w:val="685B4680"/>
    <w:rsid w:val="6DC26FF5"/>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1065</Words>
  <Characters>1165</Characters>
  <Lines>6</Lines>
  <Paragraphs>1</Paragraphs>
  <TotalTime>1</TotalTime>
  <ScaleCrop>false</ScaleCrop>
  <LinksUpToDate>false</LinksUpToDate>
  <CharactersWithSpaces>1179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2023-02-22T06:47:54Z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F2634E99C9254EC987BB90F3F985B912</vt:lpwstr>
  </property>
</Properties>
</file>