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pPr>
      <w:r>
        <w:rPr>
          <w:rFonts w:hint="eastAsia" w:ascii="方正小标宋简体" w:hAnsi="方正小标宋简体" w:eastAsia="方正小标宋简体" w:cs="方正小标宋简体"/>
          <w:b/>
          <w:bCs/>
          <w:color w:val="000000" w:themeColor="text1"/>
          <w:sz w:val="40"/>
          <w:szCs w:val="40"/>
          <w:lang w:val="en-US" w:eastAsia="zh-CN"/>
          <w14:textFill>
            <w14:solidFill>
              <w14:schemeClr w14:val="tx1"/>
            </w14:solidFill>
          </w14:textFill>
        </w:rPr>
        <w:t>立项审批费用</w:t>
      </w: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项目支出</w:t>
      </w:r>
    </w:p>
    <w:p>
      <w:pPr>
        <w:spacing w:line="580" w:lineRule="exact"/>
        <w:jc w:val="center"/>
        <w:rPr>
          <w:rFonts w:hint="eastAsia" w:ascii="宋体" w:hAnsi="宋体" w:eastAsia="宋体" w:cs="宋体"/>
          <w:b/>
          <w:bCs/>
          <w:color w:val="FF0000"/>
          <w:sz w:val="36"/>
          <w:szCs w:val="36"/>
          <w:lang w:eastAsia="zh-CN"/>
        </w:rPr>
      </w:pP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一、基本情况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color w:val="auto"/>
          <w:sz w:val="32"/>
          <w:szCs w:val="32"/>
        </w:rPr>
        <w:t>根据《中华人民共和国预算法》、《中共唐山市委唐山市人民政府关于全面实施预算绩效管理的实施意见》等有关规定，</w:t>
      </w:r>
      <w:r>
        <w:rPr>
          <w:rFonts w:hint="eastAsia" w:ascii="方正仿宋简体" w:hAnsi="方正仿宋简体" w:eastAsia="方正仿宋简体" w:cs="方正仿宋简体"/>
          <w:color w:val="000000"/>
          <w:sz w:val="32"/>
          <w:szCs w:val="32"/>
          <w:shd w:val="clear" w:color="auto" w:fill="FFFFFF"/>
          <w:lang w:bidi="ar"/>
        </w:rPr>
        <w:t>结合我局实际</w:t>
      </w:r>
      <w:r>
        <w:rPr>
          <w:rFonts w:hint="eastAsia" w:ascii="方正仿宋简体" w:hAnsi="方正仿宋简体" w:eastAsia="方正仿宋简体" w:cs="方正仿宋简体"/>
          <w:i w:val="0"/>
          <w:caps w:val="0"/>
          <w:color w:val="333333"/>
          <w:spacing w:val="0"/>
          <w:sz w:val="32"/>
          <w:szCs w:val="32"/>
          <w:lang w:val="en-US" w:eastAsia="zh-CN"/>
        </w:rPr>
        <w:t>，</w:t>
      </w:r>
      <w:r>
        <w:rPr>
          <w:rFonts w:hint="eastAsia" w:ascii="方正仿宋简体" w:hAnsi="方正仿宋简体" w:eastAsia="方正仿宋简体" w:cs="方正仿宋简体"/>
          <w:sz w:val="32"/>
          <w:szCs w:val="32"/>
          <w:lang w:eastAsia="zh-CN"/>
        </w:rPr>
        <w:t>我局成立评价小组并</w:t>
      </w:r>
      <w:r>
        <w:rPr>
          <w:rFonts w:hint="eastAsia" w:ascii="方正仿宋简体" w:hAnsi="方正仿宋简体" w:eastAsia="方正仿宋简体" w:cs="方正仿宋简体"/>
          <w:sz w:val="32"/>
          <w:szCs w:val="32"/>
        </w:rPr>
        <w:t>安排专门人员负责</w:t>
      </w:r>
      <w:r>
        <w:rPr>
          <w:rFonts w:hint="eastAsia" w:ascii="方正仿宋简体" w:hAnsi="方正仿宋简体" w:eastAsia="方正仿宋简体" w:cs="方正仿宋简体"/>
          <w:sz w:val="32"/>
          <w:szCs w:val="32"/>
          <w:lang w:val="en-US" w:eastAsia="zh-CN"/>
        </w:rPr>
        <w:t>2022</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eastAsia="zh-CN"/>
        </w:rPr>
        <w:t>绩效评价</w:t>
      </w:r>
      <w:r>
        <w:rPr>
          <w:rFonts w:hint="eastAsia" w:ascii="方正仿宋简体" w:hAnsi="方正仿宋简体" w:eastAsia="方正仿宋简体" w:cs="方正仿宋简体"/>
          <w:sz w:val="32"/>
          <w:szCs w:val="32"/>
        </w:rPr>
        <w:t>推进工作</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加强</w:t>
      </w:r>
      <w:r>
        <w:rPr>
          <w:rFonts w:hint="eastAsia" w:ascii="方正仿宋简体" w:hAnsi="方正仿宋简体" w:eastAsia="方正仿宋简体" w:cs="方正仿宋简体"/>
          <w:sz w:val="32"/>
          <w:szCs w:val="32"/>
          <w:lang w:eastAsia="zh-CN"/>
        </w:rPr>
        <w:t>我</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项目支出绩效管理，提高财政资金使用效益和公共服务质量</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eastAsia="zh-CN"/>
        </w:rPr>
      </w:pPr>
      <w:r>
        <w:rPr>
          <w:rFonts w:hint="eastAsia" w:ascii="方正仿宋简体" w:hAnsi="方正仿宋简体" w:eastAsia="方正仿宋简体" w:cs="方正仿宋简体"/>
          <w:sz w:val="32"/>
          <w:szCs w:val="32"/>
        </w:rPr>
        <w:t>为实现</w:t>
      </w:r>
      <w:r>
        <w:rPr>
          <w:rFonts w:hint="eastAsia" w:ascii="方正仿宋简体" w:hAnsi="方正仿宋简体" w:eastAsia="方正仿宋简体" w:cs="方正仿宋简体"/>
          <w:sz w:val="32"/>
          <w:szCs w:val="32"/>
          <w:lang w:eastAsia="zh-CN"/>
        </w:rPr>
        <w:t>绩效评价工作</w:t>
      </w:r>
      <w:r>
        <w:rPr>
          <w:rFonts w:hint="eastAsia" w:ascii="方正仿宋简体" w:hAnsi="方正仿宋简体" w:eastAsia="方正仿宋简体" w:cs="方正仿宋简体"/>
          <w:sz w:val="32"/>
          <w:szCs w:val="32"/>
        </w:rPr>
        <w:t>，加</w:t>
      </w:r>
      <w:r>
        <w:rPr>
          <w:rFonts w:hint="eastAsia" w:ascii="方正仿宋简体" w:hAnsi="方正仿宋简体" w:eastAsia="方正仿宋简体" w:cs="方正仿宋简体"/>
          <w:sz w:val="32"/>
          <w:szCs w:val="32"/>
          <w:lang w:eastAsia="zh-CN"/>
        </w:rPr>
        <w:t>快唐山国际旅游岛行政审批中心工作效率</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进一步推动优化营商环境</w:t>
      </w:r>
      <w:r>
        <w:rPr>
          <w:rFonts w:hint="eastAsia" w:ascii="方正仿宋简体" w:hAnsi="方正仿宋简体" w:eastAsia="方正仿宋简体" w:cs="方正仿宋简体"/>
          <w:sz w:val="32"/>
          <w:szCs w:val="32"/>
          <w:lang w:val="en-US" w:eastAsia="zh-CN"/>
        </w:rPr>
        <w:t>和对外窗口服务水平</w:t>
      </w:r>
      <w:r>
        <w:rPr>
          <w:rFonts w:hint="eastAsia" w:ascii="方正仿宋简体" w:hAnsi="方正仿宋简体" w:eastAsia="方正仿宋简体" w:cs="方正仿宋简体"/>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项目绩效目标。</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sz w:val="32"/>
          <w:szCs w:val="32"/>
          <w:lang w:val="en-US" w:eastAsia="zh-CN"/>
        </w:rPr>
        <w:t>通过支付立项审批费用，</w:t>
      </w:r>
      <w:r>
        <w:rPr>
          <w:rFonts w:hint="eastAsia" w:ascii="方正仿宋简体" w:hAnsi="方正仿宋简体" w:eastAsia="方正仿宋简体" w:cs="方正仿宋简体"/>
          <w:color w:val="000000"/>
          <w:sz w:val="32"/>
          <w:szCs w:val="32"/>
          <w:lang w:val="en-US" w:eastAsia="zh-CN"/>
        </w:rPr>
        <w:t>满足项目立项审批的专业性和合法性，推进旅游岛项目建设。</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二、绩效评价工作开展情况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（一）绩效评价目的、对象和范围。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w:t>
      </w:r>
      <w:r>
        <w:rPr>
          <w:rFonts w:hint="eastAsia" w:ascii="方正仿宋简体" w:hAnsi="方正仿宋简体" w:eastAsia="方正仿宋简体" w:cs="方正仿宋简体"/>
          <w:color w:val="000000"/>
          <w:sz w:val="32"/>
          <w:szCs w:val="32"/>
        </w:rPr>
        <w:t>强</w:t>
      </w:r>
      <w:r>
        <w:rPr>
          <w:rFonts w:hint="eastAsia" w:ascii="方正仿宋简体" w:hAnsi="方正仿宋简体" w:eastAsia="方正仿宋简体" w:cs="方正仿宋简体"/>
          <w:color w:val="000000"/>
          <w:sz w:val="32"/>
          <w:szCs w:val="32"/>
          <w:lang w:eastAsia="zh-CN"/>
        </w:rPr>
        <w:t>我</w:t>
      </w:r>
      <w:r>
        <w:rPr>
          <w:rFonts w:hint="eastAsia" w:ascii="方正仿宋简体" w:hAnsi="方正仿宋简体" w:eastAsia="方正仿宋简体" w:cs="方正仿宋简体"/>
          <w:color w:val="000000"/>
          <w:sz w:val="32"/>
          <w:szCs w:val="32"/>
          <w:lang w:val="en-US" w:eastAsia="zh-CN"/>
        </w:rPr>
        <w:t>局</w:t>
      </w:r>
      <w:r>
        <w:rPr>
          <w:rFonts w:hint="eastAsia" w:ascii="方正仿宋简体" w:hAnsi="方正仿宋简体" w:eastAsia="方正仿宋简体" w:cs="方正仿宋简体"/>
          <w:color w:val="000000"/>
          <w:sz w:val="32"/>
          <w:szCs w:val="32"/>
        </w:rPr>
        <w:t>项目</w:t>
      </w:r>
      <w:r>
        <w:rPr>
          <w:rFonts w:hint="eastAsia" w:ascii="方正仿宋简体" w:hAnsi="方正仿宋简体" w:eastAsia="方正仿宋简体" w:cs="方正仿宋简体"/>
          <w:sz w:val="32"/>
          <w:szCs w:val="32"/>
        </w:rPr>
        <w:t>支出绩效管理，提高财政资金使用效益和公共服务质量</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本部门</w:t>
      </w:r>
      <w:r>
        <w:rPr>
          <w:rFonts w:hint="eastAsia" w:ascii="方正仿宋简体" w:hAnsi="方正仿宋简体" w:eastAsia="方正仿宋简体" w:cs="方正仿宋简体"/>
          <w:sz w:val="32"/>
          <w:szCs w:val="32"/>
          <w:lang w:eastAsia="zh-CN"/>
        </w:rPr>
        <w:t>制定</w:t>
      </w:r>
      <w:r>
        <w:rPr>
          <w:rFonts w:hint="eastAsia" w:ascii="方正仿宋简体" w:hAnsi="方正仿宋简体" w:eastAsia="方正仿宋简体" w:cs="方正仿宋简体"/>
          <w:sz w:val="32"/>
          <w:szCs w:val="32"/>
        </w:rPr>
        <w:t>绩效自评制度办法或操作细则，具体组织实施本部门的绩效自评工作，加强绩效自评结果应用，并对自评结果的真实性、合法性、完整性负责。</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绩效评价原则、评价指标体系（附</w:t>
      </w:r>
      <w:r>
        <w:rPr>
          <w:rFonts w:hint="eastAsia" w:ascii="方正楷体简体" w:hAnsi="方正楷体简体" w:eastAsia="方正楷体简体" w:cs="方正楷体简体"/>
          <w:color w:val="auto"/>
          <w:sz w:val="32"/>
          <w:szCs w:val="32"/>
          <w:lang w:eastAsia="zh-CN"/>
        </w:rPr>
        <w:t>件</w:t>
      </w:r>
      <w:r>
        <w:rPr>
          <w:rFonts w:hint="eastAsia" w:ascii="方正楷体简体" w:hAnsi="方正楷体简体" w:eastAsia="方正楷体简体" w:cs="方正楷体简体"/>
          <w:color w:val="auto"/>
          <w:sz w:val="32"/>
          <w:szCs w:val="32"/>
        </w:rPr>
        <w:t>）、评价方法、评价标准等。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按要求将评价结果公开，</w:t>
      </w:r>
      <w:r>
        <w:rPr>
          <w:rFonts w:hint="eastAsia" w:ascii="方正仿宋简体" w:hAnsi="方正仿宋简体" w:eastAsia="方正仿宋简体" w:cs="方正仿宋简体"/>
          <w:sz w:val="32"/>
          <w:szCs w:val="32"/>
        </w:rPr>
        <w:t>加强绩效</w:t>
      </w:r>
      <w:r>
        <w:rPr>
          <w:rFonts w:hint="eastAsia" w:ascii="方正仿宋简体" w:hAnsi="方正仿宋简体" w:eastAsia="方正仿宋简体" w:cs="方正仿宋简体"/>
          <w:sz w:val="32"/>
          <w:szCs w:val="32"/>
          <w:lang w:eastAsia="zh-CN"/>
        </w:rPr>
        <w:t>评价</w:t>
      </w:r>
      <w:r>
        <w:rPr>
          <w:rFonts w:hint="eastAsia" w:ascii="方正仿宋简体" w:hAnsi="方正仿宋简体" w:eastAsia="方正仿宋简体" w:cs="方正仿宋简体"/>
          <w:sz w:val="32"/>
          <w:szCs w:val="32"/>
        </w:rPr>
        <w:t>运行监控</w:t>
      </w:r>
      <w:r>
        <w:rPr>
          <w:rFonts w:hint="eastAsia" w:ascii="方正仿宋简体" w:hAnsi="方正仿宋简体" w:eastAsia="方正仿宋简体" w:cs="方正仿宋简体"/>
          <w:sz w:val="32"/>
          <w:szCs w:val="32"/>
          <w:lang w:eastAsia="zh-CN"/>
        </w:rPr>
        <w:t>，发</w:t>
      </w:r>
      <w:r>
        <w:rPr>
          <w:rFonts w:hint="eastAsia" w:ascii="方正仿宋简体" w:hAnsi="方正仿宋简体" w:eastAsia="方正仿宋简体" w:cs="方正仿宋简体"/>
          <w:sz w:val="32"/>
          <w:szCs w:val="32"/>
        </w:rPr>
        <w:t>现问题及时采取措施，确保绩效目标如期保质实现。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按要求开展部门</w:t>
      </w:r>
      <w:r>
        <w:rPr>
          <w:rFonts w:hint="eastAsia" w:ascii="方正仿宋简体" w:hAnsi="方正仿宋简体" w:eastAsia="方正仿宋简体" w:cs="方正仿宋简体"/>
          <w:sz w:val="32"/>
          <w:szCs w:val="32"/>
          <w:lang w:eastAsia="zh-CN"/>
        </w:rPr>
        <w:t>项目支出</w:t>
      </w:r>
      <w:r>
        <w:rPr>
          <w:rFonts w:hint="eastAsia" w:ascii="方正仿宋简体" w:hAnsi="方正仿宋简体" w:eastAsia="方正仿宋简体" w:cs="方正仿宋简体"/>
          <w:sz w:val="32"/>
          <w:szCs w:val="32"/>
        </w:rPr>
        <w:t>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）绩效评价工作过程。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right="0" w:firstLine="640" w:firstLineChars="200"/>
        <w:jc w:val="left"/>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唐山国际旅游岛招商合作局作为项目实施单位，代管行政审批</w:t>
      </w:r>
      <w:r>
        <w:rPr>
          <w:rFonts w:hint="eastAsia" w:ascii="方正仿宋简体" w:hAnsi="方正仿宋简体" w:eastAsia="方正仿宋简体" w:cs="方正仿宋简体"/>
          <w:sz w:val="32"/>
          <w:szCs w:val="32"/>
          <w:lang w:val="en-US" w:eastAsia="zh-CN"/>
        </w:rPr>
        <w:t>中心</w:t>
      </w:r>
      <w:r>
        <w:rPr>
          <w:rFonts w:hint="eastAsia" w:ascii="方正仿宋简体" w:hAnsi="方正仿宋简体" w:eastAsia="方正仿宋简体" w:cs="方正仿宋简体"/>
          <w:sz w:val="32"/>
          <w:szCs w:val="32"/>
          <w:lang w:eastAsia="zh-CN"/>
        </w:rPr>
        <w:t>等工作的正常开展，推动我区行政审批等工作高效的运行，提升我区对外窗口形象，</w:t>
      </w:r>
      <w:r>
        <w:rPr>
          <w:rFonts w:hint="eastAsia" w:ascii="方正仿宋简体" w:hAnsi="方正仿宋简体" w:eastAsia="方正仿宋简体" w:cs="方正仿宋简体"/>
          <w:sz w:val="32"/>
          <w:szCs w:val="32"/>
          <w:lang w:val="en-US" w:eastAsia="zh-CN"/>
        </w:rPr>
        <w:t>保障中心正常工作运转。</w:t>
      </w:r>
    </w:p>
    <w:p>
      <w:pPr>
        <w:numPr>
          <w:ilvl w:val="0"/>
          <w:numId w:val="1"/>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综合评价情况及评价结论</w:t>
      </w:r>
    </w:p>
    <w:p>
      <w:pPr>
        <w:numPr>
          <w:ilvl w:val="0"/>
          <w:numId w:val="0"/>
        </w:numPr>
        <w:spacing w:line="600" w:lineRule="exact"/>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方正仿宋简体" w:hAnsi="方正仿宋简体" w:eastAsia="方正仿宋简体" w:cs="方正仿宋简体"/>
          <w:sz w:val="32"/>
          <w:szCs w:val="32"/>
          <w:lang w:val="en-US" w:eastAsia="zh-CN"/>
        </w:rPr>
        <w:t>按照财政支出绩效评价指标体系评分标准，行政审批中心办公费使用情况良好，</w:t>
      </w:r>
      <w:r>
        <w:rPr>
          <w:rFonts w:hint="eastAsia" w:ascii="方正仿宋简体" w:hAnsi="方正仿宋简体" w:eastAsia="方正仿宋简体" w:cs="方正仿宋简体"/>
          <w:color w:val="000000"/>
          <w:sz w:val="32"/>
          <w:szCs w:val="32"/>
          <w:highlight w:val="none"/>
          <w:lang w:val="en-US" w:eastAsia="zh-CN"/>
        </w:rPr>
        <w:t>无超范围使</w:t>
      </w:r>
      <w:r>
        <w:rPr>
          <w:rFonts w:hint="eastAsia" w:ascii="方正仿宋简体" w:hAnsi="方正仿宋简体" w:eastAsia="方正仿宋简体" w:cs="方正仿宋简体"/>
          <w:color w:val="000000" w:themeColor="text1"/>
          <w:sz w:val="32"/>
          <w:szCs w:val="32"/>
          <w:highlight w:val="none"/>
          <w:lang w:val="en-US" w:eastAsia="zh-CN"/>
          <w14:textFill>
            <w14:solidFill>
              <w14:schemeClr w14:val="tx1"/>
            </w14:solidFill>
          </w14:textFill>
        </w:rPr>
        <w:t>用或其他不当情形，共计100分，自评得96分，拟自评等级为优</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方正楷体简体" w:hAnsi="方正楷体简体" w:eastAsia="方正楷体简体" w:cs="方正楷体简体"/>
          <w:color w:val="auto"/>
          <w:sz w:val="32"/>
          <w:szCs w:val="32"/>
          <w:lang w:eastAsia="zh-CN"/>
        </w:rPr>
        <w:t>（一）项目决策情况。</w:t>
      </w:r>
    </w:p>
    <w:p>
      <w:pPr>
        <w:spacing w:line="600" w:lineRule="exact"/>
        <w:ind w:firstLine="640" w:firstLineChars="200"/>
        <w:outlineLvl w:val="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2022年度立项审批费用项目立项依据充分、程序合规、项目资金使用计划可行、审批手续齐全。我局在制定2022年度立项审批费用项目资金预算时，明确了工作思路和工作任务等。</w:t>
      </w:r>
    </w:p>
    <w:p>
      <w:pPr>
        <w:numPr>
          <w:ilvl w:val="0"/>
          <w:numId w:val="2"/>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项目过程情况。</w:t>
      </w:r>
    </w:p>
    <w:p>
      <w:pPr>
        <w:numPr>
          <w:ilvl w:val="0"/>
          <w:numId w:val="0"/>
        </w:numPr>
        <w:spacing w:line="600" w:lineRule="exact"/>
        <w:ind w:firstLine="640" w:firstLineChars="200"/>
        <w:outlineLvl w:val="0"/>
        <w:rPr>
          <w:rFonts w:hint="eastAsia" w:ascii="方正仿宋简体" w:hAnsi="方正仿宋简体" w:eastAsia="方正仿宋简体" w:cs="方正仿宋简体"/>
          <w:kern w:val="0"/>
          <w:sz w:val="32"/>
          <w:szCs w:val="32"/>
          <w:lang w:val="en-US" w:eastAsia="zh-CN"/>
        </w:rPr>
      </w:pPr>
      <w:r>
        <w:rPr>
          <w:rFonts w:hint="eastAsia" w:ascii="方正仿宋简体" w:hAnsi="方正仿宋简体" w:eastAsia="方正仿宋简体" w:cs="方正仿宋简体"/>
          <w:sz w:val="32"/>
          <w:szCs w:val="32"/>
          <w:lang w:val="en-US" w:eastAsia="zh-CN"/>
        </w:rPr>
        <w:t>支付立项审批费用2万元，确保了行政审批2022年的工作正常运转</w:t>
      </w:r>
      <w:r>
        <w:rPr>
          <w:rFonts w:hint="eastAsia" w:ascii="方正仿宋简体" w:hAnsi="方正仿宋简体" w:eastAsia="方正仿宋简体" w:cs="方正仿宋简体"/>
          <w:sz w:val="32"/>
          <w:szCs w:val="32"/>
          <w:lang w:eastAsia="zh-CN"/>
        </w:rPr>
        <w:t>，提高了我区优化营商环境水平，</w:t>
      </w:r>
      <w:r>
        <w:rPr>
          <w:rFonts w:hint="eastAsia" w:ascii="方正仿宋简体" w:hAnsi="方正仿宋简体" w:eastAsia="方正仿宋简体" w:cs="方正仿宋简体"/>
          <w:kern w:val="0"/>
          <w:sz w:val="32"/>
          <w:szCs w:val="32"/>
          <w:lang w:val="en-US" w:eastAsia="zh-CN"/>
        </w:rPr>
        <w:t>保障了审批中心工作有序开展。</w:t>
      </w:r>
    </w:p>
    <w:p>
      <w:pPr>
        <w:numPr>
          <w:ilvl w:val="0"/>
          <w:numId w:val="0"/>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color w:val="FF0000"/>
          <w:sz w:val="32"/>
          <w:szCs w:val="32"/>
          <w:highlight w:val="none"/>
          <w:lang w:val="en-US" w:eastAsia="zh-CN"/>
        </w:rPr>
      </w:pPr>
      <w:r>
        <w:rPr>
          <w:rFonts w:hint="eastAsia" w:ascii="方正仿宋简体" w:hAnsi="方正仿宋简体" w:eastAsia="方正仿宋简体" w:cs="方正仿宋简体"/>
          <w:color w:val="000000"/>
          <w:sz w:val="32"/>
          <w:szCs w:val="32"/>
          <w:highlight w:val="none"/>
          <w:lang w:val="en-US" w:eastAsia="zh-CN"/>
        </w:rPr>
        <w:t>项目产出指标实际完成情况基本达到了预期设定的目标值，产出指标</w:t>
      </w:r>
      <w:r>
        <w:rPr>
          <w:rFonts w:hint="eastAsia" w:ascii="方正仿宋简体" w:hAnsi="方正仿宋简体" w:eastAsia="方正仿宋简体" w:cs="方正仿宋简体"/>
          <w:color w:val="000000" w:themeColor="text1"/>
          <w:sz w:val="32"/>
          <w:szCs w:val="32"/>
          <w:highlight w:val="none"/>
          <w:lang w:val="en-US" w:eastAsia="zh-CN"/>
          <w14:textFill>
            <w14:solidFill>
              <w14:schemeClr w14:val="tx1"/>
            </w14:solidFill>
          </w14:textFill>
        </w:rPr>
        <w:t>的完成情况较好项目产出指标分值50分，实际得分49分。</w:t>
      </w:r>
    </w:p>
    <w:p>
      <w:pPr>
        <w:numPr>
          <w:ilvl w:val="0"/>
          <w:numId w:val="2"/>
        </w:numPr>
        <w:spacing w:line="600" w:lineRule="exact"/>
        <w:ind w:left="0" w:leftChars="0"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项目效益情况。</w:t>
      </w:r>
    </w:p>
    <w:p>
      <w:pPr>
        <w:numPr>
          <w:ilvl w:val="0"/>
          <w:numId w:val="0"/>
        </w:numPr>
        <w:spacing w:line="600" w:lineRule="exact"/>
        <w:ind w:firstLine="640" w:firstLineChars="200"/>
        <w:outlineLvl w:val="0"/>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通过项目实施，群众满意度进一步提高，营商环境和电子信息化水平进一步提升。</w:t>
      </w:r>
    </w:p>
    <w:p>
      <w:pPr>
        <w:numPr>
          <w:ilvl w:val="0"/>
          <w:numId w:val="0"/>
        </w:numPr>
        <w:spacing w:line="600" w:lineRule="exact"/>
        <w:ind w:left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五、</w:t>
      </w:r>
      <w:r>
        <w:rPr>
          <w:rFonts w:hint="eastAsia" w:ascii="方正黑体简体" w:hAnsi="方正黑体简体" w:eastAsia="方正黑体简体" w:cs="方正黑体简体"/>
          <w:sz w:val="32"/>
          <w:szCs w:val="32"/>
        </w:rPr>
        <w:t>主要经验及做法、存在的问题及原因分析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2、周密部署，精简节约。能有效的提高办公效率，还力求勤俭节约、合理利用现有资金。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3、专项资金管理水平有待提高，绩效目标的完成与预期的略有偏离。项目绩效管理制度不够完善。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pStyle w:val="2"/>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pPr>
    </w:p>
    <w:p>
      <w:pPr>
        <w:numPr>
          <w:ilvl w:val="0"/>
          <w:numId w:val="3"/>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其他需要说明的问题</w:t>
      </w:r>
    </w:p>
    <w:p>
      <w:pPr>
        <w:numPr>
          <w:ilvl w:val="0"/>
          <w:numId w:val="0"/>
        </w:numPr>
        <w:spacing w:line="600" w:lineRule="exact"/>
        <w:ind w:firstLine="640" w:firstLineChars="200"/>
        <w:rPr>
          <w:rFonts w:hint="eastAsia" w:ascii="黑体" w:hAnsi="黑体" w:eastAsia="黑体"/>
          <w:sz w:val="32"/>
          <w:szCs w:val="32"/>
          <w:lang w:eastAsia="zh-CN"/>
        </w:rPr>
      </w:pPr>
      <w:r>
        <w:rPr>
          <w:rFonts w:hint="eastAsia" w:ascii="黑体" w:hAnsi="黑体" w:eastAsia="黑体"/>
          <w:sz w:val="32"/>
          <w:szCs w:val="32"/>
          <w:lang w:eastAsia="zh-CN"/>
        </w:rPr>
        <w:t>无。</w:t>
      </w:r>
    </w:p>
    <w:p>
      <w:pPr>
        <w:numPr>
          <w:ilvl w:val="0"/>
          <w:numId w:val="0"/>
        </w:numPr>
        <w:spacing w:line="600" w:lineRule="exact"/>
        <w:ind w:firstLine="640" w:firstLineChars="200"/>
        <w:rPr>
          <w:rFonts w:hint="eastAsia" w:ascii="黑体" w:hAnsi="黑体" w:eastAsia="黑体"/>
          <w:sz w:val="32"/>
          <w:szCs w:val="32"/>
          <w:lang w:eastAsia="zh-CN"/>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宋体" w:hAnsi="宋体" w:cs="宋体"/>
          <w:b/>
          <w:bCs/>
          <w:kern w:val="0"/>
          <w:sz w:val="24"/>
          <w:szCs w:val="24"/>
        </w:rPr>
      </w:pPr>
      <w:r>
        <w:rPr>
          <w:rFonts w:hint="eastAsia" w:ascii="宋体" w:hAnsi="宋体" w:cs="宋体"/>
          <w:b/>
          <w:bCs/>
          <w:kern w:val="0"/>
          <w:sz w:val="24"/>
          <w:szCs w:val="24"/>
        </w:rPr>
        <w:t>项目支出绩效自评表</w:t>
      </w:r>
    </w:p>
    <w:p>
      <w:pPr>
        <w:pStyle w:val="2"/>
        <w:ind w:firstLine="3614" w:firstLineChars="1500"/>
        <w:rPr>
          <w:rFonts w:hint="eastAsia" w:eastAsia="宋体"/>
          <w:lang w:eastAsia="zh-CN"/>
        </w:rPr>
      </w:pPr>
      <w:r>
        <w:rPr>
          <w:rFonts w:hint="eastAsia" w:ascii="宋体" w:hAnsi="宋体" w:cs="宋体"/>
          <w:b/>
          <w:bCs/>
          <w:kern w:val="0"/>
          <w:sz w:val="24"/>
          <w:szCs w:val="24"/>
          <w:lang w:eastAsia="zh-CN"/>
        </w:rPr>
        <w:t>（</w:t>
      </w:r>
      <w:r>
        <w:rPr>
          <w:rFonts w:hint="eastAsia" w:ascii="宋体" w:hAnsi="宋体" w:cs="宋体"/>
          <w:b/>
          <w:bCs/>
          <w:kern w:val="0"/>
          <w:sz w:val="24"/>
          <w:szCs w:val="24"/>
          <w:lang w:val="en-US" w:eastAsia="zh-CN"/>
        </w:rPr>
        <w:t>2022年度</w:t>
      </w:r>
      <w:r>
        <w:rPr>
          <w:rFonts w:hint="eastAsia" w:ascii="宋体" w:hAnsi="宋体" w:cs="宋体"/>
          <w:b/>
          <w:bCs/>
          <w:kern w:val="0"/>
          <w:sz w:val="24"/>
          <w:szCs w:val="24"/>
          <w:lang w:eastAsia="zh-CN"/>
        </w:rPr>
        <w:t>）</w:t>
      </w:r>
    </w:p>
    <w:tbl>
      <w:tblPr>
        <w:tblStyle w:val="3"/>
        <w:tblW w:w="9354" w:type="dxa"/>
        <w:jc w:val="center"/>
        <w:tblLayout w:type="fixed"/>
        <w:tblCellMar>
          <w:top w:w="0" w:type="dxa"/>
          <w:left w:w="108" w:type="dxa"/>
          <w:bottom w:w="0" w:type="dxa"/>
          <w:right w:w="108" w:type="dxa"/>
        </w:tblCellMar>
      </w:tblPr>
      <w:tblGrid>
        <w:gridCol w:w="588"/>
        <w:gridCol w:w="980"/>
        <w:gridCol w:w="1112"/>
        <w:gridCol w:w="609"/>
        <w:gridCol w:w="1218"/>
        <w:gridCol w:w="62"/>
        <w:gridCol w:w="1078"/>
        <w:gridCol w:w="994"/>
        <w:gridCol w:w="332"/>
        <w:gridCol w:w="297"/>
        <w:gridCol w:w="251"/>
        <w:gridCol w:w="301"/>
        <w:gridCol w:w="550"/>
        <w:gridCol w:w="982"/>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8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7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唐山国际旅游岛招商合作局作局</w:t>
            </w:r>
          </w:p>
        </w:tc>
      </w:tr>
      <w:tr>
        <w:tblPrEx>
          <w:tblCellMar>
            <w:top w:w="0" w:type="dxa"/>
            <w:left w:w="108" w:type="dxa"/>
            <w:bottom w:w="0" w:type="dxa"/>
            <w:right w:w="108" w:type="dxa"/>
          </w:tblCellMar>
        </w:tblPrEx>
        <w:trPr>
          <w:trHeight w:val="431"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CellMar>
            <w:top w:w="0" w:type="dxa"/>
            <w:left w:w="108" w:type="dxa"/>
            <w:bottom w:w="0" w:type="dxa"/>
            <w:right w:w="108" w:type="dxa"/>
          </w:tblCellMar>
        </w:tblPrEx>
        <w:trPr>
          <w:trHeight w:val="561"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bookmarkStart w:id="0" w:name="_GoBack"/>
            <w:bookmarkEnd w:id="0"/>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70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84"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能够保障中心正常办公运转。</w:t>
            </w:r>
          </w:p>
        </w:tc>
        <w:tc>
          <w:tcPr>
            <w:tcW w:w="370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保障</w:t>
            </w:r>
            <w:r>
              <w:rPr>
                <w:rFonts w:hint="eastAsia" w:ascii="宋体" w:hAnsi="宋体" w:cs="宋体"/>
                <w:i w:val="0"/>
                <w:color w:val="000000"/>
                <w:kern w:val="0"/>
                <w:sz w:val="18"/>
                <w:szCs w:val="18"/>
                <w:u w:val="none"/>
                <w:lang w:val="en-US" w:eastAsia="zh-CN" w:bidi="ar"/>
              </w:rPr>
              <w:t>了</w:t>
            </w:r>
            <w:r>
              <w:rPr>
                <w:rFonts w:hint="eastAsia" w:ascii="宋体" w:hAnsi="宋体" w:eastAsia="宋体" w:cs="宋体"/>
                <w:i w:val="0"/>
                <w:color w:val="000000"/>
                <w:kern w:val="0"/>
                <w:sz w:val="18"/>
                <w:szCs w:val="18"/>
                <w:u w:val="none"/>
                <w:lang w:val="en-US" w:eastAsia="zh-CN" w:bidi="ar"/>
              </w:rPr>
              <w:t>中心正常</w:t>
            </w:r>
            <w:r>
              <w:rPr>
                <w:rFonts w:hint="eastAsia" w:ascii="宋体" w:hAnsi="宋体" w:cs="宋体"/>
                <w:i w:val="0"/>
                <w:color w:val="000000"/>
                <w:kern w:val="0"/>
                <w:sz w:val="18"/>
                <w:szCs w:val="18"/>
                <w:u w:val="none"/>
                <w:lang w:val="en-US" w:eastAsia="zh-CN" w:bidi="ar"/>
              </w:rPr>
              <w:t>工作</w:t>
            </w:r>
            <w:r>
              <w:rPr>
                <w:rFonts w:hint="eastAsia" w:ascii="宋体" w:hAnsi="宋体" w:eastAsia="宋体" w:cs="宋体"/>
                <w:i w:val="0"/>
                <w:color w:val="000000"/>
                <w:kern w:val="0"/>
                <w:sz w:val="18"/>
                <w:szCs w:val="18"/>
                <w:u w:val="none"/>
                <w:lang w:val="en-US" w:eastAsia="zh-CN" w:bidi="ar"/>
              </w:rPr>
              <w:t>运转。</w:t>
            </w:r>
          </w:p>
        </w:tc>
      </w:tr>
      <w:tr>
        <w:tblPrEx>
          <w:tblCellMar>
            <w:top w:w="0" w:type="dxa"/>
            <w:left w:w="108" w:type="dxa"/>
            <w:bottom w:w="0" w:type="dxa"/>
            <w:right w:w="108" w:type="dxa"/>
          </w:tblCellMar>
        </w:tblPrEx>
        <w:trPr>
          <w:trHeight w:val="495"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68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产出指标（50）</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数量指标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立项审批</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对项目建议书、可行性研究报告、初步设计或概算进行评估评审。</w:t>
            </w: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对项目建议书、可行性研</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4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合格</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合格率100%</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合格率100%</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采购时间</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12月底</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12月底</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委托服务费</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2万元</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 xml:space="preserve"> 2万元</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按需付费</w:t>
            </w:r>
          </w:p>
        </w:tc>
      </w:tr>
      <w:tr>
        <w:tblPrEx>
          <w:tblCellMar>
            <w:top w:w="0" w:type="dxa"/>
            <w:left w:w="108" w:type="dxa"/>
            <w:bottom w:w="0" w:type="dxa"/>
            <w:right w:w="108" w:type="dxa"/>
          </w:tblCellMar>
        </w:tblPrEx>
        <w:trPr>
          <w:trHeight w:val="85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审批的合法性</w:t>
            </w:r>
          </w:p>
        </w:tc>
        <w:tc>
          <w:tcPr>
            <w:tcW w:w="10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满足项目立项审批的合法性</w:t>
            </w:r>
          </w:p>
        </w:tc>
        <w:tc>
          <w:tcPr>
            <w:tcW w:w="9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满足项目立项审批的合法性</w:t>
            </w:r>
          </w:p>
        </w:tc>
        <w:tc>
          <w:tcPr>
            <w:tcW w:w="6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审批的专业性</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满足项目立项审批的专业性</w:t>
            </w: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满足项目立项审批的专业性</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20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可持续影响指标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保障发展需求</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满足旅游岛目前发展的需求</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满足旅游岛目前发展的需求</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服务对象满意度指标</w:t>
            </w:r>
          </w:p>
        </w:tc>
        <w:tc>
          <w:tcPr>
            <w:tcW w:w="1889" w:type="dxa"/>
            <w:gridSpan w:val="3"/>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群众满意度97.8%</w:t>
            </w:r>
          </w:p>
        </w:tc>
        <w:tc>
          <w:tcPr>
            <w:tcW w:w="1078" w:type="dxa"/>
            <w:tcBorders>
              <w:top w:val="single" w:color="auto" w:sz="4" w:space="0"/>
              <w:left w:val="nil"/>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≥97.8%</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≥97.8%</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64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C19A2A"/>
    <w:multiLevelType w:val="singleLevel"/>
    <w:tmpl w:val="BFC19A2A"/>
    <w:lvl w:ilvl="0" w:tentative="0">
      <w:start w:val="3"/>
      <w:numFmt w:val="chineseCounting"/>
      <w:suff w:val="nothing"/>
      <w:lvlText w:val="%1、"/>
      <w:lvlJc w:val="left"/>
      <w:rPr>
        <w:rFonts w:hint="eastAsia"/>
      </w:rPr>
    </w:lvl>
  </w:abstractNum>
  <w:abstractNum w:abstractNumId="1">
    <w:nsid w:val="2DD51F41"/>
    <w:multiLevelType w:val="singleLevel"/>
    <w:tmpl w:val="2DD51F41"/>
    <w:lvl w:ilvl="0" w:tentative="0">
      <w:start w:val="2"/>
      <w:numFmt w:val="chineseCounting"/>
      <w:suff w:val="nothing"/>
      <w:lvlText w:val="（%1）"/>
      <w:lvlJc w:val="left"/>
      <w:rPr>
        <w:rFonts w:hint="eastAsia"/>
      </w:rPr>
    </w:lvl>
  </w:abstractNum>
  <w:abstractNum w:abstractNumId="2">
    <w:nsid w:val="727FB863"/>
    <w:multiLevelType w:val="singleLevel"/>
    <w:tmpl w:val="727FB863"/>
    <w:lvl w:ilvl="0" w:tentative="0">
      <w:start w:val="7"/>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lMzZmNTJjNzJlZmZiZDEyOGVlY2VmYTdhZWJkMzEifQ=="/>
  </w:docVars>
  <w:rsids>
    <w:rsidRoot w:val="00000000"/>
    <w:rsid w:val="05253638"/>
    <w:rsid w:val="080D21E7"/>
    <w:rsid w:val="0DF335B1"/>
    <w:rsid w:val="0EBD2E3C"/>
    <w:rsid w:val="0F0E332A"/>
    <w:rsid w:val="11EA1B4D"/>
    <w:rsid w:val="13E2709A"/>
    <w:rsid w:val="18797656"/>
    <w:rsid w:val="1A4D51EB"/>
    <w:rsid w:val="1AF75928"/>
    <w:rsid w:val="25526338"/>
    <w:rsid w:val="269B7AAF"/>
    <w:rsid w:val="294E0E09"/>
    <w:rsid w:val="311E63F9"/>
    <w:rsid w:val="31721A4C"/>
    <w:rsid w:val="40183AC7"/>
    <w:rsid w:val="41FA6756"/>
    <w:rsid w:val="47881287"/>
    <w:rsid w:val="4F602D94"/>
    <w:rsid w:val="565F3E3C"/>
    <w:rsid w:val="568D446F"/>
    <w:rsid w:val="59513B5C"/>
    <w:rsid w:val="5A3B3CCF"/>
    <w:rsid w:val="5AF11F7E"/>
    <w:rsid w:val="616E7593"/>
    <w:rsid w:val="622F4416"/>
    <w:rsid w:val="6286062C"/>
    <w:rsid w:val="6A3D7B02"/>
    <w:rsid w:val="6B0D1BCA"/>
    <w:rsid w:val="6D433682"/>
    <w:rsid w:val="71E86DD3"/>
    <w:rsid w:val="724E5AED"/>
    <w:rsid w:val="72693B8A"/>
    <w:rsid w:val="7383797A"/>
    <w:rsid w:val="75151DA7"/>
    <w:rsid w:val="7E1D3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1720</Words>
  <Characters>1784</Characters>
  <Lines>0</Lines>
  <Paragraphs>0</Paragraphs>
  <TotalTime>9</TotalTime>
  <ScaleCrop>false</ScaleCrop>
  <LinksUpToDate>false</LinksUpToDate>
  <CharactersWithSpaces>1793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吐泡泡</cp:lastModifiedBy>
  <dcterms:modified xsi:type="dcterms:W3CDTF">2023-02-28T02:35:49Z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KSOSaveFontToCloudKey">
    <vt:lpwstr>697097459_btnclosed</vt:lpwstr>
  </property>
  <property fmtid="{D5CDD505-2E9C-101B-9397-08002B2CF9AE}" pid="4" name="ICV">
    <vt:lpwstr>409D9B78186A41DE9A6D3BB7230F8601</vt:lpwstr>
  </property>
</Properties>
</file>