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default" w:ascii="宋体" w:hAnsi="宋体" w:cs="宋体"/>
          <w:b/>
          <w:bCs/>
          <w:sz w:val="36"/>
          <w:szCs w:val="36"/>
          <w:lang w:val="en-US" w:eastAsia="zh-CN"/>
        </w:rPr>
      </w:pPr>
      <w:r>
        <w:rPr>
          <w:rFonts w:hint="eastAsia" w:ascii="宋体" w:hAnsi="宋体" w:cs="宋体"/>
          <w:b/>
          <w:bCs/>
          <w:sz w:val="36"/>
          <w:szCs w:val="36"/>
          <w:lang w:val="en-US" w:eastAsia="zh-CN"/>
        </w:rPr>
        <w:t>2022年道路环卫及市政设施维护费项目</w:t>
      </w:r>
    </w:p>
    <w:p>
      <w:pPr>
        <w:spacing w:line="580" w:lineRule="exact"/>
        <w:jc w:val="center"/>
        <w:rPr>
          <w:rFonts w:hint="eastAsia" w:ascii="宋体" w:hAnsi="宋体" w:eastAsia="宋体" w:cs="宋体"/>
          <w:b/>
          <w:bCs/>
          <w:sz w:val="36"/>
          <w:szCs w:val="36"/>
          <w:lang w:eastAsia="zh-CN"/>
        </w:rPr>
      </w:pPr>
      <w:r>
        <w:rPr>
          <w:rFonts w:hint="eastAsia" w:ascii="宋体" w:hAnsi="宋体" w:eastAsia="宋体" w:cs="宋体"/>
          <w:b/>
          <w:bCs/>
          <w:sz w:val="36"/>
          <w:szCs w:val="36"/>
          <w:lang w:eastAsia="zh-CN"/>
        </w:rPr>
        <w:t>支出绩效评价报告</w:t>
      </w:r>
    </w:p>
    <w:p>
      <w:pPr>
        <w:spacing w:line="580" w:lineRule="exact"/>
        <w:jc w:val="center"/>
        <w:rPr>
          <w:rFonts w:hint="eastAsia" w:ascii="仿宋_GB2312" w:eastAsia="仿宋_GB2312"/>
          <w:b/>
          <w:bCs/>
          <w:sz w:val="40"/>
          <w:szCs w:val="40"/>
          <w:lang w:eastAsia="zh-CN"/>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围绕唐山市巩固全国文明城市</w:t>
      </w:r>
      <w:r>
        <w:rPr>
          <w:rFonts w:hint="eastAsia" w:ascii="仿宋_GB2312" w:eastAsia="仿宋_GB2312"/>
          <w:sz w:val="32"/>
          <w:szCs w:val="32"/>
          <w:lang w:val="en-US" w:eastAsia="zh-CN"/>
        </w:rPr>
        <w:t>建设</w:t>
      </w:r>
      <w:r>
        <w:rPr>
          <w:rFonts w:hint="eastAsia" w:ascii="仿宋_GB2312" w:eastAsia="仿宋_GB2312"/>
          <w:sz w:val="32"/>
          <w:szCs w:val="32"/>
        </w:rPr>
        <w:t>成果、创建国家森林城市和国家卫生城市的工作目标，</w:t>
      </w:r>
      <w:r>
        <w:rPr>
          <w:rFonts w:hint="eastAsia" w:ascii="仿宋_GB2312" w:eastAsia="仿宋_GB2312"/>
          <w:sz w:val="32"/>
          <w:szCs w:val="32"/>
          <w:lang w:val="en-US" w:eastAsia="zh-CN"/>
        </w:rPr>
        <w:t>在</w:t>
      </w:r>
      <w:r>
        <w:rPr>
          <w:rFonts w:hint="eastAsia" w:ascii="仿宋_GB2312" w:eastAsia="仿宋_GB2312"/>
          <w:sz w:val="32"/>
          <w:szCs w:val="32"/>
        </w:rPr>
        <w:t>城市净化、亮化、美化</w:t>
      </w:r>
      <w:r>
        <w:rPr>
          <w:rFonts w:hint="eastAsia" w:ascii="仿宋_GB2312" w:eastAsia="仿宋_GB2312"/>
          <w:sz w:val="32"/>
          <w:szCs w:val="32"/>
          <w:lang w:val="en-US" w:eastAsia="zh-CN"/>
        </w:rPr>
        <w:t>上精益求精</w:t>
      </w:r>
      <w:r>
        <w:rPr>
          <w:rFonts w:hint="eastAsia" w:ascii="仿宋_GB2312" w:eastAsia="仿宋_GB2312"/>
          <w:sz w:val="32"/>
          <w:szCs w:val="32"/>
        </w:rPr>
        <w:t>，</w:t>
      </w:r>
      <w:r>
        <w:rPr>
          <w:rFonts w:hint="eastAsia" w:ascii="仿宋_GB2312" w:eastAsia="仿宋_GB2312"/>
          <w:sz w:val="32"/>
          <w:szCs w:val="32"/>
          <w:lang w:val="en-US" w:eastAsia="zh-CN"/>
        </w:rPr>
        <w:t>下足功夫，全力以赴</w:t>
      </w:r>
      <w:r>
        <w:rPr>
          <w:rFonts w:hint="eastAsia" w:ascii="仿宋_GB2312" w:eastAsia="仿宋_GB2312"/>
          <w:sz w:val="32"/>
          <w:szCs w:val="32"/>
        </w:rPr>
        <w:t>做好</w:t>
      </w:r>
      <w:r>
        <w:rPr>
          <w:rFonts w:hint="eastAsia" w:ascii="仿宋_GB2312" w:eastAsia="仿宋_GB2312"/>
          <w:sz w:val="32"/>
          <w:szCs w:val="32"/>
          <w:lang w:val="en-US" w:eastAsia="zh-CN"/>
        </w:rPr>
        <w:t>路灯</w:t>
      </w:r>
      <w:r>
        <w:rPr>
          <w:rFonts w:hint="eastAsia" w:ascii="仿宋_GB2312" w:eastAsia="仿宋_GB2312"/>
          <w:sz w:val="32"/>
          <w:szCs w:val="32"/>
        </w:rPr>
        <w:t>亮化、</w:t>
      </w:r>
      <w:r>
        <w:rPr>
          <w:rFonts w:hint="eastAsia" w:ascii="仿宋_GB2312" w:eastAsia="仿宋_GB2312"/>
          <w:sz w:val="32"/>
          <w:szCs w:val="32"/>
          <w:lang w:val="en-US" w:eastAsia="zh-CN"/>
        </w:rPr>
        <w:t>城市</w:t>
      </w:r>
      <w:r>
        <w:rPr>
          <w:rFonts w:hint="eastAsia" w:ascii="仿宋_GB2312" w:eastAsia="仿宋_GB2312"/>
          <w:sz w:val="32"/>
          <w:szCs w:val="32"/>
        </w:rPr>
        <w:t>环境卫生、城管运营等工作，</w:t>
      </w:r>
      <w:r>
        <w:rPr>
          <w:rFonts w:hint="eastAsia" w:ascii="仿宋_GB2312" w:eastAsia="仿宋_GB2312"/>
          <w:sz w:val="32"/>
          <w:szCs w:val="32"/>
          <w:lang w:val="en-US" w:eastAsia="zh-CN"/>
        </w:rPr>
        <w:t>设</w:t>
      </w:r>
      <w:r>
        <w:rPr>
          <w:rFonts w:hint="eastAsia" w:ascii="仿宋_GB2312" w:eastAsia="仿宋_GB2312"/>
          <w:sz w:val="32"/>
          <w:szCs w:val="32"/>
        </w:rPr>
        <w:t>立</w:t>
      </w:r>
      <w:r>
        <w:rPr>
          <w:rFonts w:hint="eastAsia" w:ascii="仿宋_GB2312" w:eastAsia="仿宋_GB2312"/>
          <w:sz w:val="32"/>
          <w:szCs w:val="32"/>
          <w:lang w:val="en-US" w:eastAsia="zh-CN"/>
        </w:rPr>
        <w:t>本</w:t>
      </w:r>
      <w:r>
        <w:rPr>
          <w:rFonts w:hint="eastAsia" w:ascii="仿宋_GB2312" w:eastAsia="仿宋_GB2312"/>
          <w:sz w:val="32"/>
          <w:szCs w:val="32"/>
        </w:rPr>
        <w:t>项目。市政道路环卫及市政设施维护费</w:t>
      </w:r>
      <w:r>
        <w:rPr>
          <w:rFonts w:hint="eastAsia" w:ascii="仿宋_GB2312" w:eastAsia="仿宋_GB2312"/>
          <w:sz w:val="32"/>
          <w:szCs w:val="32"/>
          <w:lang w:val="en-US" w:eastAsia="zh-CN"/>
        </w:rPr>
        <w:t>用</w:t>
      </w:r>
      <w:r>
        <w:rPr>
          <w:rFonts w:hint="eastAsia" w:ascii="仿宋_GB2312" w:eastAsia="仿宋_GB2312"/>
          <w:sz w:val="32"/>
          <w:szCs w:val="32"/>
        </w:rPr>
        <w:t>于</w:t>
      </w:r>
      <w:r>
        <w:rPr>
          <w:rFonts w:hint="eastAsia" w:ascii="仿宋_GB2312" w:eastAsia="仿宋_GB2312"/>
          <w:sz w:val="32"/>
          <w:szCs w:val="32"/>
          <w:lang w:val="en-US" w:eastAsia="zh-CN"/>
        </w:rPr>
        <w:t>旅游岛</w:t>
      </w:r>
      <w:r>
        <w:rPr>
          <w:rFonts w:hint="eastAsia" w:ascii="仿宋_GB2312" w:eastAsia="仿宋_GB2312"/>
          <w:sz w:val="32"/>
          <w:szCs w:val="32"/>
        </w:rPr>
        <w:t>乐北路、捞鱼尖游步路、景观道、迎祥路、滨海大道、清河公园、旅游专用线、管委会等，市政环卫面积约1164818平方米清扫保洁</w:t>
      </w:r>
      <w:r>
        <w:rPr>
          <w:rFonts w:hint="eastAsia" w:ascii="仿宋_GB2312" w:eastAsia="仿宋_GB2312"/>
          <w:sz w:val="32"/>
          <w:szCs w:val="32"/>
          <w:lang w:eastAsia="zh-CN"/>
        </w:rPr>
        <w:t>；祥云湾、金沙滩、菩提岛、三贝码头及旅游岛辖区村庄</w:t>
      </w:r>
      <w:r>
        <w:rPr>
          <w:rFonts w:hint="eastAsia" w:ascii="仿宋_GB2312" w:eastAsia="仿宋_GB2312"/>
          <w:sz w:val="32"/>
          <w:szCs w:val="32"/>
          <w:lang w:val="en-US" w:eastAsia="zh-CN"/>
        </w:rPr>
        <w:t>区域</w:t>
      </w:r>
      <w:r>
        <w:rPr>
          <w:rFonts w:hint="eastAsia" w:ascii="仿宋_GB2312" w:eastAsia="仿宋_GB2312"/>
          <w:sz w:val="32"/>
          <w:szCs w:val="32"/>
          <w:lang w:eastAsia="zh-CN"/>
        </w:rPr>
        <w:t>生活垃圾</w:t>
      </w:r>
      <w:r>
        <w:rPr>
          <w:rFonts w:hint="eastAsia" w:ascii="仿宋_GB2312" w:eastAsia="仿宋_GB2312"/>
          <w:sz w:val="32"/>
          <w:szCs w:val="32"/>
          <w:lang w:val="en-US" w:eastAsia="zh-CN"/>
        </w:rPr>
        <w:t>收集</w:t>
      </w:r>
      <w:r>
        <w:rPr>
          <w:rFonts w:hint="eastAsia" w:ascii="仿宋_GB2312" w:eastAsia="仿宋_GB2312"/>
          <w:sz w:val="32"/>
          <w:szCs w:val="32"/>
          <w:lang w:eastAsia="zh-CN"/>
        </w:rPr>
        <w:t>压缩转运至生活垃圾</w:t>
      </w:r>
      <w:r>
        <w:rPr>
          <w:rFonts w:hint="eastAsia" w:ascii="仿宋_GB2312" w:eastAsia="仿宋_GB2312"/>
          <w:sz w:val="32"/>
          <w:szCs w:val="32"/>
          <w:lang w:val="en-US" w:eastAsia="zh-CN"/>
        </w:rPr>
        <w:t>焚烧发电厂</w:t>
      </w:r>
      <w:r>
        <w:rPr>
          <w:rFonts w:hint="eastAsia" w:ascii="仿宋_GB2312" w:eastAsia="仿宋_GB2312"/>
          <w:sz w:val="32"/>
          <w:szCs w:val="32"/>
          <w:lang w:eastAsia="zh-CN"/>
        </w:rPr>
        <w:t>进行无害化处理</w:t>
      </w:r>
      <w:r>
        <w:rPr>
          <w:rFonts w:hint="eastAsia" w:ascii="仿宋_GB2312" w:eastAsia="仿宋_GB2312"/>
          <w:sz w:val="32"/>
          <w:szCs w:val="32"/>
        </w:rPr>
        <w:t>；景观灯</w:t>
      </w:r>
      <w:r>
        <w:rPr>
          <w:rFonts w:hint="eastAsia" w:ascii="仿宋_GB2312" w:eastAsia="仿宋_GB2312"/>
          <w:sz w:val="32"/>
          <w:szCs w:val="32"/>
          <w:lang w:eastAsia="zh-CN"/>
        </w:rPr>
        <w:t>、</w:t>
      </w:r>
      <w:r>
        <w:rPr>
          <w:rFonts w:hint="eastAsia" w:ascii="仿宋_GB2312" w:eastAsia="仿宋_GB2312"/>
          <w:sz w:val="32"/>
          <w:szCs w:val="32"/>
          <w:lang w:val="en-US" w:eastAsia="zh-CN"/>
        </w:rPr>
        <w:t>桥梁等市政设施的维护等。2022年项目总投入377.7万元，其中财政拨款377.7万元。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numPr>
          <w:ilvl w:val="0"/>
          <w:numId w:val="0"/>
        </w:numPr>
        <w:spacing w:line="600" w:lineRule="exact"/>
        <w:ind w:firstLine="640" w:firstLineChars="200"/>
        <w:rPr>
          <w:rFonts w:ascii="仿宋_GB2312" w:eastAsia="仿宋_GB2312"/>
          <w:sz w:val="32"/>
          <w:szCs w:val="32"/>
        </w:rPr>
      </w:pPr>
      <w:r>
        <w:rPr>
          <w:rFonts w:hint="eastAsia" w:ascii="仿宋_GB2312" w:eastAsia="仿宋_GB2312"/>
          <w:sz w:val="32"/>
          <w:szCs w:val="32"/>
        </w:rPr>
        <w:t>通过项目实施，优化传统道路清扫保洁作业模式，完成道路保洁作业</w:t>
      </w:r>
      <w:r>
        <w:rPr>
          <w:rFonts w:hint="eastAsia" w:ascii="仿宋_GB2312" w:eastAsia="仿宋_GB2312"/>
          <w:sz w:val="32"/>
          <w:szCs w:val="32"/>
          <w:lang w:val="en-US" w:eastAsia="zh-CN"/>
        </w:rPr>
        <w:t>体系建设</w:t>
      </w:r>
      <w:r>
        <w:rPr>
          <w:rFonts w:hint="eastAsia" w:ascii="仿宋_GB2312" w:eastAsia="仿宋_GB2312"/>
          <w:sz w:val="32"/>
          <w:szCs w:val="32"/>
        </w:rPr>
        <w:t>及路面清扫、保洁任务</w:t>
      </w:r>
      <w:r>
        <w:rPr>
          <w:rFonts w:hint="eastAsia" w:ascii="仿宋_GB2312" w:eastAsia="仿宋_GB2312"/>
          <w:sz w:val="32"/>
          <w:szCs w:val="32"/>
          <w:lang w:eastAsia="zh-CN"/>
        </w:rPr>
        <w:t>，</w:t>
      </w:r>
      <w:r>
        <w:rPr>
          <w:rFonts w:hint="eastAsia" w:ascii="仿宋_GB2312" w:eastAsia="仿宋_GB2312"/>
          <w:sz w:val="32"/>
          <w:szCs w:val="32"/>
        </w:rPr>
        <w:t>保证</w:t>
      </w:r>
      <w:r>
        <w:rPr>
          <w:rFonts w:hint="eastAsia" w:ascii="仿宋_GB2312" w:eastAsia="仿宋_GB2312"/>
          <w:sz w:val="32"/>
          <w:szCs w:val="32"/>
          <w:lang w:val="en-US" w:eastAsia="zh-CN"/>
        </w:rPr>
        <w:t>生活垃圾运至生活垃圾填埋场</w:t>
      </w:r>
      <w:r>
        <w:rPr>
          <w:rFonts w:hint="eastAsia" w:ascii="仿宋_GB2312" w:eastAsia="仿宋_GB2312"/>
          <w:sz w:val="32"/>
          <w:szCs w:val="32"/>
        </w:rPr>
        <w:t>进行无害化处理；做好垃圾转运站设备的检修、保养，确保生活垃圾日产日清</w:t>
      </w:r>
      <w:r>
        <w:rPr>
          <w:rFonts w:hint="eastAsia" w:ascii="仿宋_GB2312" w:eastAsia="仿宋_GB2312"/>
          <w:sz w:val="32"/>
          <w:szCs w:val="32"/>
          <w:lang w:eastAsia="zh-CN"/>
        </w:rPr>
        <w:t>；</w:t>
      </w:r>
      <w:r>
        <w:rPr>
          <w:rFonts w:hint="eastAsia" w:ascii="仿宋_GB2312" w:eastAsia="仿宋_GB2312"/>
          <w:sz w:val="32"/>
          <w:szCs w:val="32"/>
        </w:rPr>
        <w:t>确保</w:t>
      </w:r>
      <w:r>
        <w:rPr>
          <w:rFonts w:hint="eastAsia" w:ascii="仿宋_GB2312" w:eastAsia="仿宋_GB2312"/>
          <w:sz w:val="32"/>
          <w:szCs w:val="32"/>
          <w:lang w:val="en-US" w:eastAsia="zh-CN"/>
        </w:rPr>
        <w:t>市政配套设施</w:t>
      </w:r>
      <w:r>
        <w:rPr>
          <w:rFonts w:hint="eastAsia" w:ascii="仿宋_GB2312" w:eastAsia="仿宋_GB2312"/>
          <w:sz w:val="32"/>
          <w:szCs w:val="32"/>
        </w:rPr>
        <w:t>运行</w:t>
      </w:r>
      <w:r>
        <w:rPr>
          <w:rFonts w:hint="eastAsia" w:ascii="仿宋_GB2312" w:eastAsia="仿宋_GB2312"/>
          <w:sz w:val="32"/>
          <w:szCs w:val="32"/>
          <w:lang w:val="en-US" w:eastAsia="zh-CN"/>
        </w:rPr>
        <w:t>安全</w:t>
      </w:r>
      <w:r>
        <w:rPr>
          <w:rFonts w:hint="eastAsia" w:ascii="仿宋_GB2312" w:eastAsia="仿宋_GB2312"/>
          <w:sz w:val="32"/>
          <w:szCs w:val="32"/>
        </w:rPr>
        <w:t>良好。</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（一）绩效评价目的、对象和范围。</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1、评价目的：通过2022年道路环卫及市政设施维护费项目的指标设计和量化分析，从项目的决策、过程、产出、效益等方面，全面评价项目的完成情况、取得的效益等，加强和改进预算管理，提高经费的使用效益。</w:t>
      </w:r>
    </w:p>
    <w:p>
      <w:pPr>
        <w:numPr>
          <w:ilvl w:val="0"/>
          <w:numId w:val="0"/>
        </w:num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2、评价对象：2022年市政道路环卫及市政设施维护费。</w:t>
      </w:r>
    </w:p>
    <w:p>
      <w:pPr>
        <w:numPr>
          <w:ilvl w:val="0"/>
          <w:numId w:val="0"/>
        </w:numPr>
        <w:spacing w:line="600" w:lineRule="exact"/>
        <w:ind w:firstLine="640" w:firstLineChars="20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3、评价范围：2022年市政道路环卫及市政设施维护费项目专项资金377.7万元的使用、管理及项目完成产生的效益。</w:t>
      </w:r>
    </w:p>
    <w:p>
      <w:pPr>
        <w:numPr>
          <w:ilvl w:val="0"/>
          <w:numId w:val="0"/>
        </w:num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三</w:t>
      </w:r>
      <w:r>
        <w:rPr>
          <w:rFonts w:hint="eastAsia" w:ascii="仿宋_GB2312" w:eastAsia="仿宋_GB2312"/>
          <w:sz w:val="32"/>
          <w:szCs w:val="32"/>
          <w:lang w:eastAsia="zh-CN"/>
        </w:rPr>
        <w:t>）</w:t>
      </w:r>
      <w:r>
        <w:rPr>
          <w:rFonts w:hint="eastAsia" w:ascii="仿宋_GB2312" w:eastAsia="仿宋_GB2312"/>
          <w:sz w:val="32"/>
          <w:szCs w:val="32"/>
        </w:rPr>
        <w:t>绩效评价原则、评价指标体系（附</w:t>
      </w:r>
      <w:r>
        <w:rPr>
          <w:rFonts w:hint="eastAsia" w:ascii="仿宋_GB2312" w:eastAsia="仿宋_GB2312"/>
          <w:sz w:val="32"/>
          <w:szCs w:val="32"/>
          <w:lang w:eastAsia="zh-CN"/>
        </w:rPr>
        <w:t>件</w:t>
      </w:r>
      <w:r>
        <w:rPr>
          <w:rFonts w:hint="eastAsia" w:ascii="仿宋_GB2312" w:eastAsia="仿宋_GB2312"/>
          <w:sz w:val="32"/>
          <w:szCs w:val="32"/>
        </w:rPr>
        <w:t>）、评价方法、评价标准等。</w:t>
      </w:r>
    </w:p>
    <w:p>
      <w:pPr>
        <w:numPr>
          <w:ilvl w:val="0"/>
          <w:numId w:val="0"/>
        </w:num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本次绩效评价指标体系以《项目支出绩效评价指标体系》为基础，我们结合该项目的特点进一步细化评价指标，评价指标体系包括决策、过程、产出、效益四个方面，下设二、三级指标，总分值设定为 100 分</w:t>
      </w:r>
      <w:r>
        <w:rPr>
          <w:rFonts w:hint="eastAsia" w:ascii="仿宋_GB2312" w:eastAsia="仿宋_GB2312"/>
          <w:sz w:val="32"/>
          <w:szCs w:val="32"/>
          <w:lang w:eastAsia="zh-CN"/>
        </w:rPr>
        <w:t>。</w:t>
      </w:r>
    </w:p>
    <w:p>
      <w:pPr>
        <w:numPr>
          <w:ilvl w:val="0"/>
          <w:numId w:val="0"/>
        </w:numPr>
        <w:spacing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评价工作组针对该项目的特点和评价工作的要求，采用了比较法、因素分析法、统计计算法等方法，对</w:t>
      </w:r>
      <w:r>
        <w:rPr>
          <w:rFonts w:hint="eastAsia" w:ascii="仿宋_GB2312" w:eastAsia="仿宋_GB2312"/>
          <w:sz w:val="32"/>
          <w:szCs w:val="32"/>
          <w:lang w:val="en-US" w:eastAsia="zh-CN"/>
        </w:rPr>
        <w:t>市政道路环卫及市政设施维护费</w:t>
      </w:r>
      <w:r>
        <w:rPr>
          <w:rFonts w:hint="eastAsia" w:ascii="仿宋_GB2312" w:eastAsia="仿宋_GB2312"/>
          <w:sz w:val="32"/>
          <w:szCs w:val="32"/>
        </w:rPr>
        <w:t>项目进行绩效评价分析。</w:t>
      </w:r>
    </w:p>
    <w:p>
      <w:pPr>
        <w:numPr>
          <w:ilvl w:val="0"/>
          <w:numId w:val="0"/>
        </w:numPr>
        <w:spacing w:line="600" w:lineRule="exact"/>
        <w:ind w:firstLine="640" w:firstLineChars="200"/>
        <w:jc w:val="both"/>
        <w:rPr>
          <w:rFonts w:ascii="仿宋_GB2312" w:eastAsia="仿宋_GB2312"/>
          <w:sz w:val="32"/>
          <w:szCs w:val="32"/>
        </w:rPr>
      </w:pPr>
      <w:r>
        <w:rPr>
          <w:rFonts w:hint="eastAsia" w:ascii="仿宋_GB2312" w:eastAsia="仿宋_GB2312"/>
          <w:sz w:val="32"/>
          <w:szCs w:val="32"/>
        </w:rPr>
        <w:t>本次评价标准是依据绩效评价基本原理，分别按照计划标准、行业标准、历史标准等制定。项目最终评价结果包括评分和评级，等级分定为四级：优秀：得分高于 90 分（含 90 分）；良好：得分 80 分—90 分（含 80 分）；中：得分 60 分—80 分（含60 分)；差：得分 60 分以下。</w:t>
      </w:r>
    </w:p>
    <w:p>
      <w:pPr>
        <w:numPr>
          <w:ilvl w:val="0"/>
          <w:numId w:val="1"/>
        </w:numPr>
        <w:spacing w:line="600" w:lineRule="exact"/>
        <w:ind w:left="0" w:leftChars="0" w:firstLine="640" w:firstLineChars="200"/>
        <w:jc w:val="both"/>
        <w:rPr>
          <w:rFonts w:hint="eastAsia" w:ascii="仿宋_GB2312" w:eastAsia="仿宋_GB2312"/>
          <w:sz w:val="32"/>
          <w:szCs w:val="32"/>
        </w:rPr>
      </w:pPr>
      <w:r>
        <w:rPr>
          <w:rFonts w:hint="eastAsia" w:ascii="仿宋_GB2312" w:eastAsia="仿宋_GB2312"/>
          <w:sz w:val="32"/>
          <w:szCs w:val="32"/>
        </w:rPr>
        <w:t>绩效评价工作过程。</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为实现绩效评价工作，我局</w:t>
      </w:r>
      <w:r>
        <w:rPr>
          <w:rFonts w:hint="eastAsia" w:ascii="仿宋_GB2312" w:eastAsia="仿宋_GB2312"/>
          <w:sz w:val="32"/>
          <w:szCs w:val="32"/>
          <w:lang w:val="en-US" w:eastAsia="zh-CN"/>
        </w:rPr>
        <w:t>专门</w:t>
      </w:r>
      <w:r>
        <w:rPr>
          <w:rFonts w:hint="eastAsia" w:ascii="仿宋_GB2312" w:eastAsia="仿宋_GB2312"/>
          <w:sz w:val="32"/>
          <w:szCs w:val="32"/>
        </w:rPr>
        <w:t>成立评价小组并安排专门人员负责</w:t>
      </w:r>
      <w:r>
        <w:rPr>
          <w:rFonts w:hint="eastAsia" w:ascii="仿宋_GB2312" w:eastAsia="仿宋_GB2312"/>
          <w:sz w:val="32"/>
          <w:szCs w:val="32"/>
          <w:lang w:val="en-US" w:eastAsia="zh-CN"/>
        </w:rPr>
        <w:t>2022</w:t>
      </w:r>
      <w:r>
        <w:rPr>
          <w:rFonts w:hint="eastAsia" w:ascii="仿宋_GB2312" w:eastAsia="仿宋_GB2312"/>
          <w:sz w:val="32"/>
          <w:szCs w:val="32"/>
        </w:rPr>
        <w:t>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三、综合评价情况及评价结论</w:t>
      </w:r>
    </w:p>
    <w:p>
      <w:pPr>
        <w:numPr>
          <w:ilvl w:val="0"/>
          <w:numId w:val="0"/>
        </w:num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numPr>
          <w:ilvl w:val="0"/>
          <w:numId w:val="0"/>
        </w:num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项目绩效评价小组一致认为，2022年道路环卫及市政设施维护费项目立项规范，产生了良好的效益，有效保障了辖区卫生整洁和市政设施稳定运行，有效提高了城市宜居度。经过科学评估2022年市政道路环卫及市政设施维护费项目绩效评估得分94分，评价等级结果为优秀。</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项目立项符合有关政策要求，符合城市环境美化发展规划，与部门职责范围相符，预算编制经过科学论证，预算内容与项目实际支付内容相匹配，资金分配合理，但项目绩效目标不够完整。</w:t>
      </w:r>
    </w:p>
    <w:p>
      <w:pPr>
        <w:numPr>
          <w:ilvl w:val="0"/>
          <w:numId w:val="0"/>
        </w:numPr>
        <w:tabs>
          <w:tab w:val="left" w:pos="1228"/>
        </w:tabs>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二</w:t>
      </w:r>
      <w:r>
        <w:rPr>
          <w:rFonts w:hint="eastAsia" w:ascii="仿宋_GB2312" w:eastAsia="仿宋_GB2312"/>
          <w:sz w:val="32"/>
          <w:szCs w:val="32"/>
          <w:lang w:eastAsia="zh-CN"/>
        </w:rPr>
        <w:t>）</w:t>
      </w:r>
      <w:r>
        <w:rPr>
          <w:rFonts w:hint="eastAsia" w:ascii="仿宋_GB2312" w:eastAsia="仿宋_GB2312"/>
          <w:sz w:val="32"/>
          <w:szCs w:val="32"/>
        </w:rPr>
        <w:t>项目过程情况。</w:t>
      </w:r>
    </w:p>
    <w:p>
      <w:pPr>
        <w:spacing w:line="600" w:lineRule="exact"/>
        <w:ind w:firstLine="640" w:firstLineChars="200"/>
        <w:outlineLvl w:val="0"/>
        <w:rPr>
          <w:rFonts w:hint="eastAsia" w:ascii="仿宋_GB2312" w:eastAsia="仿宋_GB2312"/>
          <w:color w:val="auto"/>
          <w:sz w:val="32"/>
          <w:szCs w:val="32"/>
          <w:lang w:eastAsia="zh-CN"/>
        </w:rPr>
      </w:pPr>
      <w:r>
        <w:rPr>
          <w:rFonts w:hint="eastAsia" w:ascii="仿宋_GB2312" w:eastAsia="仿宋_GB2312"/>
          <w:color w:val="auto"/>
          <w:sz w:val="32"/>
          <w:szCs w:val="32"/>
          <w:lang w:val="en-US" w:eastAsia="zh-CN"/>
        </w:rPr>
        <w:t>2022</w:t>
      </w:r>
      <w:r>
        <w:rPr>
          <w:rFonts w:hint="eastAsia" w:ascii="仿宋_GB2312" w:eastAsia="仿宋_GB2312"/>
          <w:color w:val="auto"/>
          <w:sz w:val="32"/>
          <w:szCs w:val="32"/>
        </w:rPr>
        <w:t>年度项目</w:t>
      </w:r>
      <w:r>
        <w:rPr>
          <w:rFonts w:hint="eastAsia" w:ascii="仿宋_GB2312" w:eastAsia="仿宋_GB2312"/>
          <w:color w:val="auto"/>
          <w:sz w:val="32"/>
          <w:szCs w:val="32"/>
          <w:lang w:val="en-US" w:eastAsia="zh-CN"/>
        </w:rPr>
        <w:t>年初</w:t>
      </w:r>
      <w:r>
        <w:rPr>
          <w:rFonts w:hint="eastAsia" w:ascii="仿宋_GB2312" w:eastAsia="仿宋_GB2312"/>
          <w:color w:val="auto"/>
          <w:sz w:val="32"/>
          <w:szCs w:val="32"/>
        </w:rPr>
        <w:t>预算资金</w:t>
      </w:r>
      <w:r>
        <w:rPr>
          <w:rFonts w:hint="eastAsia" w:ascii="仿宋_GB2312" w:eastAsia="仿宋_GB2312"/>
          <w:color w:val="auto"/>
          <w:sz w:val="32"/>
          <w:szCs w:val="32"/>
          <w:lang w:val="en-US" w:eastAsia="zh-CN"/>
        </w:rPr>
        <w:t>1254</w:t>
      </w:r>
      <w:r>
        <w:rPr>
          <w:rFonts w:hint="eastAsia" w:ascii="仿宋_GB2312" w:eastAsia="仿宋_GB2312"/>
          <w:color w:val="auto"/>
          <w:sz w:val="32"/>
          <w:szCs w:val="32"/>
        </w:rPr>
        <w:t>万元，</w:t>
      </w:r>
      <w:r>
        <w:rPr>
          <w:rFonts w:hint="eastAsia" w:ascii="仿宋_GB2312" w:eastAsia="仿宋_GB2312"/>
          <w:color w:val="auto"/>
          <w:sz w:val="32"/>
          <w:szCs w:val="32"/>
          <w:lang w:val="en-US" w:eastAsia="zh-CN"/>
        </w:rPr>
        <w:t>年中预算调整数为1254</w:t>
      </w:r>
      <w:r>
        <w:rPr>
          <w:rFonts w:hint="eastAsia" w:ascii="仿宋_GB2312" w:eastAsia="仿宋_GB2312"/>
          <w:color w:val="auto"/>
          <w:sz w:val="32"/>
          <w:szCs w:val="32"/>
        </w:rPr>
        <w:t>万元，</w:t>
      </w:r>
      <w:r>
        <w:rPr>
          <w:rFonts w:hint="eastAsia" w:ascii="仿宋_GB2312" w:eastAsia="仿宋_GB2312"/>
          <w:color w:val="auto"/>
          <w:sz w:val="32"/>
          <w:szCs w:val="32"/>
          <w:lang w:val="en-US" w:eastAsia="zh-CN"/>
        </w:rPr>
        <w:t>2022年实际支出377.7万元，预算执行率为30.12％</w:t>
      </w:r>
      <w:r>
        <w:rPr>
          <w:rFonts w:hint="eastAsia" w:ascii="仿宋_GB2312" w:eastAsia="仿宋_GB2312"/>
          <w:color w:val="auto"/>
          <w:sz w:val="32"/>
          <w:szCs w:val="32"/>
        </w:rPr>
        <w:t>。项目资金使用符合预算批复用途，项目管理制度健全，合法合规</w:t>
      </w:r>
      <w:r>
        <w:rPr>
          <w:rFonts w:hint="eastAsia" w:ascii="仿宋_GB2312" w:eastAsia="仿宋_GB2312"/>
          <w:color w:val="auto"/>
          <w:sz w:val="32"/>
          <w:szCs w:val="32"/>
          <w:lang w:eastAsia="zh-CN"/>
        </w:rPr>
        <w:t>，</w:t>
      </w:r>
      <w:r>
        <w:rPr>
          <w:rFonts w:hint="eastAsia" w:ascii="仿宋_GB2312" w:eastAsia="仿宋_GB2312"/>
          <w:color w:val="auto"/>
          <w:sz w:val="32"/>
          <w:szCs w:val="32"/>
        </w:rPr>
        <w:t>内容完整</w:t>
      </w:r>
      <w:r>
        <w:rPr>
          <w:rFonts w:hint="eastAsia" w:ascii="仿宋_GB2312" w:eastAsia="仿宋_GB2312"/>
          <w:color w:val="auto"/>
          <w:sz w:val="32"/>
          <w:szCs w:val="32"/>
          <w:lang w:eastAsia="zh-CN"/>
        </w:rPr>
        <w:t>。</w:t>
      </w:r>
    </w:p>
    <w:p>
      <w:pPr>
        <w:numPr>
          <w:ilvl w:val="0"/>
          <w:numId w:val="1"/>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项目产出情况。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项目年度任务完成较好，但现场评价发现，</w:t>
      </w:r>
      <w:r>
        <w:rPr>
          <w:rFonts w:hint="eastAsia" w:ascii="仿宋_GB2312" w:eastAsia="仿宋_GB2312"/>
          <w:sz w:val="32"/>
          <w:szCs w:val="32"/>
          <w:lang w:val="en-US" w:eastAsia="zh-CN"/>
        </w:rPr>
        <w:t>道路扬尘治理</w:t>
      </w:r>
      <w:r>
        <w:rPr>
          <w:rFonts w:hint="eastAsia" w:ascii="仿宋_GB2312" w:eastAsia="仿宋_GB2312"/>
          <w:sz w:val="32"/>
          <w:szCs w:val="32"/>
        </w:rPr>
        <w:t>质量有待提高</w:t>
      </w:r>
      <w:r>
        <w:rPr>
          <w:rFonts w:hint="eastAsia" w:ascii="仿宋_GB2312" w:eastAsia="仿宋_GB2312"/>
          <w:sz w:val="32"/>
          <w:szCs w:val="32"/>
          <w:lang w:eastAsia="zh-CN"/>
        </w:rPr>
        <w:t>。</w:t>
      </w:r>
    </w:p>
    <w:p>
      <w:pPr>
        <w:numPr>
          <w:ilvl w:val="0"/>
          <w:numId w:val="1"/>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项目效益情况。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从社会效益指标、可持续影响和群众满意度调查等方面来看，项目实施可帮助改善卫生环境，</w:t>
      </w:r>
      <w:r>
        <w:rPr>
          <w:rFonts w:hint="eastAsia" w:ascii="仿宋_GB2312" w:eastAsia="仿宋_GB2312"/>
          <w:sz w:val="32"/>
          <w:szCs w:val="32"/>
          <w:lang w:val="en-US" w:eastAsia="zh-CN"/>
        </w:rPr>
        <w:t>保障市政设施完好稳定运行</w:t>
      </w:r>
      <w:r>
        <w:rPr>
          <w:rFonts w:hint="eastAsia" w:ascii="仿宋_GB2312" w:eastAsia="仿宋_GB2312"/>
          <w:sz w:val="32"/>
          <w:szCs w:val="32"/>
        </w:rPr>
        <w:t>。问卷调查结果显示，社会公众对项目实施综合满意度为</w:t>
      </w:r>
      <w:r>
        <w:rPr>
          <w:rFonts w:hint="eastAsia" w:ascii="仿宋_GB2312" w:eastAsia="仿宋_GB2312"/>
          <w:sz w:val="32"/>
          <w:szCs w:val="32"/>
          <w:lang w:val="en-US" w:eastAsia="zh-CN"/>
        </w:rPr>
        <w:t>97.8</w:t>
      </w:r>
      <w:r>
        <w:rPr>
          <w:rFonts w:hint="eastAsia" w:ascii="仿宋_GB2312" w:eastAsia="仿宋_GB2312"/>
          <w:sz w:val="32"/>
          <w:szCs w:val="32"/>
        </w:rPr>
        <w:t>%。</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主要经验及做法、存在的问题及原因分析</w:t>
      </w:r>
    </w:p>
    <w:p>
      <w:pPr>
        <w:numPr>
          <w:ilvl w:val="0"/>
          <w:numId w:val="3"/>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经验和做法：</w:t>
      </w:r>
      <w:r>
        <w:rPr>
          <w:rFonts w:hint="eastAsia" w:ascii="仿宋_GB2312" w:eastAsia="仿宋_GB2312"/>
          <w:sz w:val="32"/>
          <w:szCs w:val="32"/>
        </w:rPr>
        <w:t>通过项目实施，提升了</w:t>
      </w:r>
      <w:r>
        <w:rPr>
          <w:rFonts w:hint="eastAsia" w:ascii="仿宋_GB2312" w:eastAsia="仿宋_GB2312"/>
          <w:sz w:val="32"/>
          <w:szCs w:val="32"/>
          <w:lang w:val="en-US" w:eastAsia="zh-CN"/>
        </w:rPr>
        <w:t>旅游岛</w:t>
      </w:r>
      <w:r>
        <w:rPr>
          <w:rFonts w:hint="eastAsia" w:ascii="仿宋_GB2312" w:eastAsia="仿宋_GB2312"/>
          <w:sz w:val="32"/>
          <w:szCs w:val="32"/>
        </w:rPr>
        <w:t>环境卫生</w:t>
      </w:r>
      <w:r>
        <w:rPr>
          <w:rFonts w:hint="eastAsia" w:ascii="仿宋_GB2312" w:eastAsia="仿宋_GB2312"/>
          <w:sz w:val="32"/>
          <w:szCs w:val="32"/>
          <w:lang w:val="en-US" w:eastAsia="zh-CN"/>
        </w:rPr>
        <w:t>和市政设施完好运行</w:t>
      </w:r>
      <w:r>
        <w:rPr>
          <w:rFonts w:hint="eastAsia" w:ascii="仿宋_GB2312" w:eastAsia="仿宋_GB2312"/>
          <w:sz w:val="32"/>
          <w:szCs w:val="32"/>
        </w:rPr>
        <w:t>，美化了居民生活环境。项目采取日常督查、定时抽查</w:t>
      </w:r>
      <w:r>
        <w:rPr>
          <w:rFonts w:hint="eastAsia" w:ascii="仿宋_GB2312" w:eastAsia="仿宋_GB2312"/>
          <w:sz w:val="32"/>
          <w:szCs w:val="32"/>
          <w:lang w:val="en-US" w:eastAsia="zh-CN"/>
        </w:rPr>
        <w:t>等方式对</w:t>
      </w:r>
      <w:r>
        <w:rPr>
          <w:rFonts w:hint="eastAsia" w:ascii="仿宋_GB2312" w:eastAsia="仿宋_GB2312"/>
          <w:sz w:val="32"/>
          <w:szCs w:val="32"/>
        </w:rPr>
        <w:t>保洁区域</w:t>
      </w:r>
      <w:r>
        <w:rPr>
          <w:rFonts w:hint="eastAsia" w:ascii="仿宋_GB2312" w:eastAsia="仿宋_GB2312"/>
          <w:sz w:val="32"/>
          <w:szCs w:val="32"/>
          <w:lang w:val="en-US" w:eastAsia="zh-CN"/>
        </w:rPr>
        <w:t>和市政设施</w:t>
      </w:r>
      <w:r>
        <w:rPr>
          <w:rFonts w:hint="eastAsia" w:ascii="仿宋_GB2312" w:eastAsia="仿宋_GB2312"/>
          <w:sz w:val="32"/>
          <w:szCs w:val="32"/>
        </w:rPr>
        <w:t>进行考核和监督，保证了环卫质量</w:t>
      </w:r>
      <w:r>
        <w:rPr>
          <w:rFonts w:hint="eastAsia" w:ascii="仿宋_GB2312" w:eastAsia="仿宋_GB2312"/>
          <w:sz w:val="32"/>
          <w:szCs w:val="32"/>
          <w:lang w:val="en-US" w:eastAsia="zh-CN"/>
        </w:rPr>
        <w:t>和市政设施完好</w:t>
      </w:r>
      <w:r>
        <w:rPr>
          <w:rFonts w:hint="eastAsia" w:ascii="仿宋_GB2312" w:eastAsia="仿宋_GB2312"/>
          <w:sz w:val="32"/>
          <w:szCs w:val="32"/>
        </w:rPr>
        <w:t>。</w:t>
      </w:r>
    </w:p>
    <w:p>
      <w:pPr>
        <w:numPr>
          <w:ilvl w:val="0"/>
          <w:numId w:val="3"/>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存在问题：辖区国省干道的扬尘治理有待进一步提高。</w:t>
      </w:r>
    </w:p>
    <w:p>
      <w:pPr>
        <w:numPr>
          <w:ilvl w:val="0"/>
          <w:numId w:val="2"/>
        </w:numPr>
        <w:spacing w:line="600" w:lineRule="exact"/>
        <w:ind w:left="0" w:leftChars="0" w:firstLine="640" w:firstLineChars="200"/>
        <w:rPr>
          <w:rFonts w:hint="eastAsia" w:ascii="黑体" w:hAnsi="黑体" w:eastAsia="黑体"/>
          <w:sz w:val="32"/>
          <w:szCs w:val="32"/>
        </w:rPr>
      </w:pPr>
      <w:r>
        <w:rPr>
          <w:rFonts w:hint="eastAsia" w:ascii="黑体" w:hAnsi="黑体" w:eastAsia="黑体"/>
          <w:sz w:val="32"/>
          <w:szCs w:val="32"/>
        </w:rPr>
        <w:t>有关建议</w:t>
      </w:r>
    </w:p>
    <w:p>
      <w:pPr>
        <w:numPr>
          <w:ilvl w:val="0"/>
          <w:numId w:val="0"/>
        </w:numPr>
        <w:spacing w:line="600" w:lineRule="exact"/>
        <w:ind w:firstLine="640" w:firstLineChars="200"/>
        <w:rPr>
          <w:rFonts w:ascii="黑体" w:hAnsi="黑体" w:eastAsia="黑体"/>
          <w:sz w:val="32"/>
          <w:szCs w:val="32"/>
        </w:rPr>
      </w:pPr>
      <w:r>
        <w:rPr>
          <w:rFonts w:hint="eastAsia" w:ascii="仿宋_GB2312" w:eastAsia="仿宋_GB2312"/>
          <w:sz w:val="32"/>
          <w:szCs w:val="32"/>
          <w:lang w:val="en-US" w:eastAsia="zh-CN"/>
        </w:rPr>
        <w:t>进一步完善环卫设施设备，提高环卫机械化程度，尽量减少人工作业，降低作业人员劳动强度，逐步推行机扫、洒水等机械化清扫为主、人工保洁为辅的作业模式；加强职工安全意识，多组织安全知识学习，减少安全事故发生；随着中心城区范围不断扩大，相应财政资金预算也要追加。</w:t>
      </w:r>
    </w:p>
    <w:p>
      <w:pPr>
        <w:spacing w:line="600" w:lineRule="exact"/>
        <w:ind w:firstLine="640" w:firstLineChars="200"/>
        <w:rPr>
          <w:rFonts w:ascii="仿宋_GB2312" w:eastAsia="仿宋_GB2312"/>
          <w:bCs/>
          <w:sz w:val="32"/>
          <w:szCs w:val="32"/>
        </w:rPr>
      </w:pPr>
      <w:r>
        <w:rPr>
          <w:rFonts w:hint="eastAsia" w:ascii="黑体" w:hAnsi="黑体" w:eastAsia="黑体"/>
          <w:sz w:val="32"/>
          <w:szCs w:val="32"/>
        </w:rPr>
        <w:t>七、其他需要说明的问题</w:t>
      </w:r>
    </w:p>
    <w:p>
      <w:pPr>
        <w:widowControl/>
        <w:ind w:firstLine="640" w:firstLineChars="200"/>
        <w:jc w:val="left"/>
        <w:rPr>
          <w:rFonts w:hint="default" w:ascii="黑体" w:hAnsi="黑体" w:eastAsia="黑体"/>
          <w:sz w:val="32"/>
          <w:szCs w:val="32"/>
          <w:lang w:val="en-US"/>
        </w:rPr>
      </w:pPr>
      <w:r>
        <w:rPr>
          <w:rFonts w:hint="eastAsia" w:ascii="仿宋_GB2312" w:eastAsia="仿宋_GB2312"/>
          <w:sz w:val="32"/>
          <w:szCs w:val="32"/>
          <w:lang w:val="en-US" w:eastAsia="zh-CN"/>
        </w:rPr>
        <w:t>无其他需要说明的问题。</w:t>
      </w:r>
    </w:p>
    <w:p>
      <w:pPr>
        <w:widowControl/>
        <w:jc w:val="left"/>
        <w:rPr>
          <w:rFonts w:hint="eastAsia" w:ascii="黑体" w:hAnsi="黑体" w:eastAsia="黑体"/>
          <w:sz w:val="32"/>
          <w:szCs w:val="32"/>
        </w:rPr>
      </w:pPr>
    </w:p>
    <w:p>
      <w:pPr>
        <w:widowControl/>
        <w:jc w:val="left"/>
        <w:rPr>
          <w:rFonts w:hint="eastAsia" w:ascii="黑体" w:hAnsi="黑体" w:eastAsia="黑体"/>
          <w:sz w:val="32"/>
          <w:szCs w:val="32"/>
        </w:rPr>
      </w:pPr>
    </w:p>
    <w:p>
      <w:pPr>
        <w:widowControl/>
        <w:jc w:val="both"/>
        <w:rPr>
          <w:rFonts w:hint="eastAsia" w:ascii="黑体" w:hAnsi="黑体" w:eastAsia="黑体"/>
          <w:sz w:val="32"/>
          <w:szCs w:val="32"/>
        </w:rPr>
      </w:pPr>
    </w:p>
    <w:p>
      <w:pPr>
        <w:widowControl/>
        <w:jc w:val="both"/>
        <w:rPr>
          <w:rFonts w:hint="eastAsia" w:ascii="黑体" w:hAnsi="黑体" w:eastAsia="黑体"/>
          <w:sz w:val="32"/>
          <w:szCs w:val="32"/>
        </w:rPr>
      </w:pPr>
    </w:p>
    <w:p>
      <w:pPr>
        <w:widowControl/>
        <w:jc w:val="both"/>
        <w:rPr>
          <w:rFonts w:hint="eastAsia" w:ascii="黑体" w:hAnsi="黑体" w:eastAsia="黑体"/>
          <w:sz w:val="32"/>
          <w:szCs w:val="32"/>
        </w:rPr>
      </w:pPr>
    </w:p>
    <w:p>
      <w:pPr>
        <w:widowControl/>
        <w:jc w:val="both"/>
        <w:rPr>
          <w:rFonts w:hint="eastAsia" w:ascii="黑体" w:hAnsi="黑体" w:eastAsia="黑体"/>
          <w:sz w:val="32"/>
          <w:szCs w:val="32"/>
        </w:rPr>
      </w:pPr>
    </w:p>
    <w:p>
      <w:pPr>
        <w:widowControl/>
        <w:jc w:val="both"/>
        <w:rPr>
          <w:rFonts w:hint="eastAsia" w:ascii="黑体" w:hAnsi="黑体" w:eastAsia="黑体"/>
          <w:sz w:val="32"/>
          <w:szCs w:val="32"/>
        </w:rPr>
      </w:pPr>
    </w:p>
    <w:p>
      <w:pPr>
        <w:widowControl/>
        <w:jc w:val="both"/>
        <w:rPr>
          <w:rFonts w:hint="eastAsia" w:ascii="黑体" w:hAnsi="黑体" w:eastAsia="黑体"/>
          <w:sz w:val="32"/>
          <w:szCs w:val="32"/>
        </w:rPr>
      </w:pPr>
    </w:p>
    <w:p>
      <w:pPr>
        <w:widowControl/>
        <w:jc w:val="both"/>
        <w:rPr>
          <w:rFonts w:hint="eastAsia" w:ascii="黑体" w:hAnsi="黑体" w:eastAsia="黑体"/>
          <w:sz w:val="32"/>
          <w:szCs w:val="32"/>
        </w:rPr>
      </w:pPr>
    </w:p>
    <w:p>
      <w:pPr>
        <w:widowControl/>
        <w:jc w:val="both"/>
        <w:rPr>
          <w:rFonts w:hint="eastAsia" w:ascii="黑体" w:hAnsi="黑体" w:eastAsia="黑体"/>
          <w:sz w:val="32"/>
          <w:szCs w:val="32"/>
        </w:rPr>
      </w:pPr>
    </w:p>
    <w:p>
      <w:pPr>
        <w:widowControl/>
        <w:jc w:val="both"/>
        <w:rPr>
          <w:rFonts w:hint="eastAsia" w:ascii="黑体" w:hAnsi="黑体" w:eastAsia="黑体"/>
          <w:sz w:val="32"/>
          <w:szCs w:val="32"/>
        </w:rPr>
      </w:pPr>
    </w:p>
    <w:p>
      <w:pPr>
        <w:widowControl/>
        <w:jc w:val="both"/>
        <w:rPr>
          <w:rFonts w:hint="eastAsia" w:ascii="黑体" w:hAnsi="黑体" w:eastAsia="黑体"/>
          <w:sz w:val="32"/>
          <w:szCs w:val="32"/>
        </w:rPr>
      </w:pPr>
    </w:p>
    <w:p>
      <w:pPr>
        <w:widowControl/>
        <w:jc w:val="both"/>
        <w:rPr>
          <w:rFonts w:hint="eastAsia" w:ascii="黑体" w:hAnsi="黑体" w:eastAsia="黑体"/>
          <w:sz w:val="32"/>
          <w:szCs w:val="32"/>
        </w:rPr>
      </w:pPr>
    </w:p>
    <w:p>
      <w:pPr>
        <w:widowControl/>
        <w:jc w:val="both"/>
        <w:rPr>
          <w:rFonts w:hint="eastAsia" w:ascii="黑体" w:hAnsi="黑体" w:eastAsia="黑体"/>
          <w:sz w:val="32"/>
          <w:szCs w:val="32"/>
        </w:rPr>
      </w:pPr>
    </w:p>
    <w:p>
      <w:pPr>
        <w:widowControl/>
        <w:jc w:val="both"/>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eastAsia="zh-CN"/>
        </w:rPr>
        <w:t>：</w:t>
      </w:r>
    </w:p>
    <w:p>
      <w:pPr>
        <w:widowControl/>
        <w:jc w:val="center"/>
        <w:rPr>
          <w:rFonts w:hint="eastAsia" w:ascii="黑体" w:hAnsi="黑体" w:eastAsia="黑体"/>
          <w:b/>
          <w:bCs/>
          <w:sz w:val="32"/>
          <w:szCs w:val="32"/>
        </w:rPr>
      </w:pPr>
      <w:r>
        <w:rPr>
          <w:rFonts w:hint="eastAsia" w:ascii="宋体" w:hAnsi="宋体" w:cs="宋体"/>
          <w:b/>
          <w:bCs/>
          <w:kern w:val="0"/>
          <w:sz w:val="24"/>
          <w:szCs w:val="24"/>
        </w:rPr>
        <w:t>项目支出绩效自评表</w:t>
      </w:r>
    </w:p>
    <w:tbl>
      <w:tblPr>
        <w:tblStyle w:val="2"/>
        <w:tblW w:w="9080" w:type="dxa"/>
        <w:jc w:val="center"/>
        <w:tblLayout w:type="fixed"/>
        <w:tblCellMar>
          <w:top w:w="0" w:type="dxa"/>
          <w:left w:w="108" w:type="dxa"/>
          <w:bottom w:w="0" w:type="dxa"/>
          <w:right w:w="108" w:type="dxa"/>
        </w:tblCellMar>
      </w:tblPr>
      <w:tblGrid>
        <w:gridCol w:w="588"/>
        <w:gridCol w:w="980"/>
        <w:gridCol w:w="1112"/>
        <w:gridCol w:w="730"/>
        <w:gridCol w:w="973"/>
        <w:gridCol w:w="1295"/>
        <w:gridCol w:w="851"/>
        <w:gridCol w:w="283"/>
        <w:gridCol w:w="284"/>
        <w:gridCol w:w="425"/>
        <w:gridCol w:w="142"/>
        <w:gridCol w:w="709"/>
        <w:gridCol w:w="708"/>
      </w:tblGrid>
      <w:tr>
        <w:tblPrEx>
          <w:tblCellMar>
            <w:top w:w="0" w:type="dxa"/>
            <w:left w:w="108" w:type="dxa"/>
            <w:bottom w:w="0" w:type="dxa"/>
            <w:right w:w="108" w:type="dxa"/>
          </w:tblCellMar>
        </w:tblPrEx>
        <w:trPr>
          <w:trHeight w:val="45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道路环卫及市政设施维护费</w:t>
            </w:r>
          </w:p>
        </w:tc>
      </w:tr>
      <w:tr>
        <w:tblPrEx>
          <w:tblCellMar>
            <w:top w:w="0" w:type="dxa"/>
            <w:left w:w="108" w:type="dxa"/>
            <w:bottom w:w="0" w:type="dxa"/>
            <w:right w:w="108" w:type="dxa"/>
          </w:tblCellMar>
        </w:tblPrEx>
        <w:trPr>
          <w:trHeight w:val="445"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55"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7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29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97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1254</w:t>
            </w:r>
          </w:p>
        </w:tc>
        <w:tc>
          <w:tcPr>
            <w:tcW w:w="129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1254</w:t>
            </w:r>
          </w:p>
          <w:p>
            <w:pPr>
              <w:widowControl/>
              <w:spacing w:line="240" w:lineRule="exact"/>
              <w:jc w:val="center"/>
              <w:rPr>
                <w:rFonts w:hint="default" w:ascii="宋体" w:hAnsi="宋体" w:cs="宋体"/>
                <w:color w:val="auto"/>
                <w:kern w:val="0"/>
                <w:sz w:val="18"/>
                <w:szCs w:val="18"/>
                <w:lang w:val="en-US" w:eastAsia="zh-CN"/>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377.7</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30.12％</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5</w:t>
            </w:r>
          </w:p>
          <w:p>
            <w:pPr>
              <w:widowControl/>
              <w:spacing w:line="240" w:lineRule="exact"/>
              <w:jc w:val="center"/>
              <w:rPr>
                <w:rFonts w:hint="default" w:ascii="宋体" w:hAnsi="宋体" w:cs="宋体"/>
                <w:kern w:val="0"/>
                <w:sz w:val="18"/>
                <w:szCs w:val="18"/>
                <w:lang w:val="en-US" w:eastAsia="zh-CN"/>
              </w:rPr>
            </w:pP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97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1254</w:t>
            </w:r>
            <w:bookmarkStart w:id="0" w:name="_GoBack"/>
            <w:bookmarkEnd w:id="0"/>
          </w:p>
        </w:tc>
        <w:tc>
          <w:tcPr>
            <w:tcW w:w="129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1254</w:t>
            </w:r>
          </w:p>
          <w:p>
            <w:pPr>
              <w:widowControl/>
              <w:spacing w:line="240" w:lineRule="exact"/>
              <w:jc w:val="center"/>
              <w:rPr>
                <w:rFonts w:hint="default" w:ascii="宋体" w:hAnsi="宋体" w:cs="宋体"/>
                <w:color w:val="auto"/>
                <w:kern w:val="0"/>
                <w:sz w:val="18"/>
                <w:szCs w:val="18"/>
                <w:lang w:val="en-US" w:eastAsia="zh-CN"/>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377.7</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97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9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97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9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44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1512"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5"/>
            <w:tcBorders>
              <w:top w:val="single" w:color="auto" w:sz="4" w:space="0"/>
              <w:left w:val="nil"/>
              <w:bottom w:val="single" w:color="auto" w:sz="4" w:space="0"/>
              <w:right w:val="single" w:color="auto" w:sz="4" w:space="0"/>
            </w:tcBorders>
            <w:vAlign w:val="center"/>
          </w:tcPr>
          <w:p>
            <w:pPr>
              <w:widowControl/>
              <w:spacing w:line="240" w:lineRule="exact"/>
              <w:ind w:firstLine="360" w:firstLineChars="200"/>
              <w:jc w:val="left"/>
              <w:rPr>
                <w:rFonts w:ascii="宋体" w:hAnsi="宋体" w:cs="宋体"/>
                <w:kern w:val="0"/>
                <w:sz w:val="18"/>
                <w:szCs w:val="18"/>
              </w:rPr>
            </w:pPr>
            <w:r>
              <w:rPr>
                <w:rFonts w:hint="eastAsia" w:ascii="宋体" w:hAnsi="宋体" w:cs="宋体"/>
                <w:kern w:val="0"/>
                <w:sz w:val="18"/>
                <w:szCs w:val="18"/>
              </w:rPr>
              <w:t>完成旅游岛市政道路的维护、保洁，做好景观灯</w:t>
            </w:r>
            <w:r>
              <w:rPr>
                <w:rFonts w:hint="eastAsia" w:ascii="宋体" w:hAnsi="宋体" w:cs="宋体"/>
                <w:kern w:val="0"/>
                <w:sz w:val="18"/>
                <w:szCs w:val="18"/>
                <w:lang w:val="en-US" w:eastAsia="zh-CN"/>
              </w:rPr>
              <w:t>等市政设施</w:t>
            </w:r>
            <w:r>
              <w:rPr>
                <w:rFonts w:hint="eastAsia" w:ascii="宋体" w:hAnsi="宋体" w:cs="宋体"/>
                <w:kern w:val="0"/>
                <w:sz w:val="18"/>
                <w:szCs w:val="18"/>
              </w:rPr>
              <w:t>的维护保养。</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ind w:firstLine="360" w:firstLineChars="200"/>
              <w:jc w:val="left"/>
              <w:rPr>
                <w:rFonts w:ascii="宋体" w:hAnsi="宋体" w:cs="宋体"/>
                <w:kern w:val="0"/>
                <w:sz w:val="18"/>
                <w:szCs w:val="18"/>
              </w:rPr>
            </w:pPr>
            <w:r>
              <w:rPr>
                <w:rFonts w:hint="eastAsia" w:ascii="宋体" w:hAnsi="宋体" w:cs="宋体"/>
                <w:kern w:val="0"/>
                <w:sz w:val="18"/>
                <w:szCs w:val="18"/>
              </w:rPr>
              <w:t>优化传统道路清扫保洁作业模式，完成</w:t>
            </w:r>
            <w:r>
              <w:rPr>
                <w:rFonts w:hint="eastAsia" w:ascii="宋体" w:hAnsi="宋体" w:cs="宋体"/>
                <w:kern w:val="0"/>
                <w:sz w:val="18"/>
                <w:szCs w:val="18"/>
                <w:lang w:val="en-US" w:eastAsia="zh-CN"/>
              </w:rPr>
              <w:t>全年</w:t>
            </w:r>
            <w:r>
              <w:rPr>
                <w:rFonts w:hint="eastAsia" w:ascii="宋体" w:hAnsi="宋体" w:cs="宋体"/>
                <w:kern w:val="0"/>
                <w:sz w:val="18"/>
                <w:szCs w:val="18"/>
              </w:rPr>
              <w:t>道路保洁作业体系及路面清扫、保洁任务，保证生活垃圾运至生活垃圾</w:t>
            </w:r>
            <w:r>
              <w:rPr>
                <w:rFonts w:hint="eastAsia" w:ascii="宋体" w:hAnsi="宋体" w:cs="宋体"/>
                <w:kern w:val="0"/>
                <w:sz w:val="18"/>
                <w:szCs w:val="18"/>
                <w:lang w:val="en-US" w:eastAsia="zh-CN"/>
              </w:rPr>
              <w:t>焚烧发电厂</w:t>
            </w:r>
            <w:r>
              <w:rPr>
                <w:rFonts w:hint="eastAsia" w:ascii="宋体" w:hAnsi="宋体" w:cs="宋体"/>
                <w:kern w:val="0"/>
                <w:sz w:val="18"/>
                <w:szCs w:val="18"/>
              </w:rPr>
              <w:t>进行无害化处理；市政配套设施运行良好。</w:t>
            </w:r>
          </w:p>
        </w:tc>
      </w:tr>
      <w:tr>
        <w:tblPrEx>
          <w:tblCellMar>
            <w:top w:w="0" w:type="dxa"/>
            <w:left w:w="108" w:type="dxa"/>
            <w:bottom w:w="0" w:type="dxa"/>
            <w:right w:w="108" w:type="dxa"/>
          </w:tblCellMar>
        </w:tblPrEx>
        <w:trPr>
          <w:trHeight w:val="668"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17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129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67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w:t>
            </w:r>
            <w:r>
              <w:rPr>
                <w:rFonts w:hint="eastAsia" w:ascii="宋体" w:hAnsi="宋体" w:cs="宋体"/>
                <w:kern w:val="0"/>
                <w:sz w:val="18"/>
                <w:szCs w:val="18"/>
                <w:lang w:eastAsia="zh-CN"/>
              </w:rPr>
              <w:t>）</w:t>
            </w: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数量指标</w:t>
            </w:r>
          </w:p>
        </w:tc>
        <w:tc>
          <w:tcPr>
            <w:tcW w:w="170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拨付金额</w:t>
            </w:r>
          </w:p>
        </w:tc>
        <w:tc>
          <w:tcPr>
            <w:tcW w:w="129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377.7万元</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377.7万元</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15</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15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66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p>
        </w:tc>
        <w:tc>
          <w:tcPr>
            <w:tcW w:w="1112" w:type="dxa"/>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1703" w:type="dxa"/>
            <w:gridSpan w:val="2"/>
            <w:tcBorders>
              <w:top w:val="single" w:color="auto" w:sz="4" w:space="0"/>
              <w:left w:val="nil"/>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质量达标率</w:t>
            </w:r>
          </w:p>
        </w:tc>
        <w:tc>
          <w:tcPr>
            <w:tcW w:w="1295" w:type="dxa"/>
            <w:tcBorders>
              <w:top w:val="single" w:color="auto" w:sz="4" w:space="0"/>
              <w:left w:val="nil"/>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质量达标率100%</w:t>
            </w:r>
          </w:p>
        </w:tc>
        <w:tc>
          <w:tcPr>
            <w:tcW w:w="851" w:type="dxa"/>
            <w:tcBorders>
              <w:top w:val="single" w:color="auto" w:sz="4" w:space="0"/>
              <w:left w:val="nil"/>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99％</w:t>
            </w:r>
          </w:p>
        </w:tc>
        <w:tc>
          <w:tcPr>
            <w:tcW w:w="567" w:type="dxa"/>
            <w:gridSpan w:val="2"/>
            <w:tcBorders>
              <w:top w:val="single" w:color="auto" w:sz="4" w:space="0"/>
              <w:left w:val="nil"/>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nil"/>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7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170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完成时间</w:t>
            </w:r>
          </w:p>
        </w:tc>
        <w:tc>
          <w:tcPr>
            <w:tcW w:w="129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年底完成</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完成</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4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170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维护成本</w:t>
            </w:r>
          </w:p>
        </w:tc>
        <w:tc>
          <w:tcPr>
            <w:tcW w:w="129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投入</w:t>
            </w:r>
            <w:r>
              <w:rPr>
                <w:rFonts w:hint="eastAsia" w:ascii="宋体" w:hAnsi="宋体" w:cs="宋体"/>
                <w:kern w:val="0"/>
                <w:sz w:val="18"/>
                <w:szCs w:val="18"/>
              </w:rPr>
              <w:t>费用共计</w:t>
            </w:r>
            <w:r>
              <w:rPr>
                <w:rFonts w:hint="eastAsia" w:ascii="宋体" w:hAnsi="宋体" w:cs="宋体"/>
                <w:kern w:val="0"/>
                <w:sz w:val="18"/>
                <w:szCs w:val="18"/>
                <w:lang w:val="en-US" w:eastAsia="zh-CN"/>
              </w:rPr>
              <w:t>377.7</w:t>
            </w:r>
            <w:r>
              <w:rPr>
                <w:rFonts w:hint="eastAsia" w:ascii="宋体" w:hAnsi="宋体" w:cs="宋体"/>
                <w:kern w:val="0"/>
                <w:sz w:val="18"/>
                <w:szCs w:val="18"/>
              </w:rPr>
              <w:t>万元</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377.7万元</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8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70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节约成本</w:t>
            </w:r>
          </w:p>
        </w:tc>
        <w:tc>
          <w:tcPr>
            <w:tcW w:w="129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合理降低单位成本</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完成</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8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widowControl/>
              <w:tabs>
                <w:tab w:val="left" w:pos="569"/>
              </w:tabs>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社会效益指标</w:t>
            </w:r>
          </w:p>
        </w:tc>
        <w:tc>
          <w:tcPr>
            <w:tcW w:w="170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优化环境</w:t>
            </w:r>
          </w:p>
        </w:tc>
        <w:tc>
          <w:tcPr>
            <w:tcW w:w="129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提高人居环境</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有效改善</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8</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7</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1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70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改善环境</w:t>
            </w:r>
          </w:p>
        </w:tc>
        <w:tc>
          <w:tcPr>
            <w:tcW w:w="129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环境得到改善，减少污染</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完成</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6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170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自然景观</w:t>
            </w:r>
          </w:p>
        </w:tc>
        <w:tc>
          <w:tcPr>
            <w:tcW w:w="129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提升自然景观</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完成</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9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1703" w:type="dxa"/>
            <w:gridSpan w:val="2"/>
            <w:tcBorders>
              <w:top w:val="single" w:color="auto" w:sz="4" w:space="0"/>
              <w:left w:val="nil"/>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群众满意度</w:t>
            </w:r>
          </w:p>
        </w:tc>
        <w:tc>
          <w:tcPr>
            <w:tcW w:w="1295" w:type="dxa"/>
            <w:tcBorders>
              <w:top w:val="single" w:color="auto" w:sz="4" w:space="0"/>
              <w:left w:val="nil"/>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满意度100％</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98.5％</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25" w:hRule="exact"/>
          <w:jc w:val="center"/>
        </w:trPr>
        <w:tc>
          <w:tcPr>
            <w:tcW w:w="6529"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94</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20A121"/>
    <w:multiLevelType w:val="singleLevel"/>
    <w:tmpl w:val="A720A121"/>
    <w:lvl w:ilvl="0" w:tentative="0">
      <w:start w:val="1"/>
      <w:numFmt w:val="decimal"/>
      <w:suff w:val="nothing"/>
      <w:lvlText w:val="%1、"/>
      <w:lvlJc w:val="left"/>
    </w:lvl>
  </w:abstractNum>
  <w:abstractNum w:abstractNumId="1">
    <w:nsid w:val="D1CEA897"/>
    <w:multiLevelType w:val="singleLevel"/>
    <w:tmpl w:val="D1CEA897"/>
    <w:lvl w:ilvl="0" w:tentative="0">
      <w:start w:val="2"/>
      <w:numFmt w:val="chineseCounting"/>
      <w:suff w:val="nothing"/>
      <w:lvlText w:val="（%1）"/>
      <w:lvlJc w:val="left"/>
      <w:rPr>
        <w:rFonts w:hint="eastAsia"/>
      </w:rPr>
    </w:lvl>
  </w:abstractNum>
  <w:abstractNum w:abstractNumId="2">
    <w:nsid w:val="ED36BC8D"/>
    <w:multiLevelType w:val="singleLevel"/>
    <w:tmpl w:val="ED36BC8D"/>
    <w:lvl w:ilvl="0" w:tentative="0">
      <w:start w:val="5"/>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AyODI0MDZjZmZmODc0MGY1ZWI5NzRlZTExNzE4OWEifQ=="/>
  </w:docVars>
  <w:rsids>
    <w:rsidRoot w:val="00000000"/>
    <w:rsid w:val="021A126A"/>
    <w:rsid w:val="1A1032B9"/>
    <w:rsid w:val="1F6B7133"/>
    <w:rsid w:val="1FCE0ED0"/>
    <w:rsid w:val="20C91E96"/>
    <w:rsid w:val="292D6C77"/>
    <w:rsid w:val="31721A4C"/>
    <w:rsid w:val="353D67C8"/>
    <w:rsid w:val="3FC63A6E"/>
    <w:rsid w:val="472D36FE"/>
    <w:rsid w:val="47881287"/>
    <w:rsid w:val="55565E52"/>
    <w:rsid w:val="724E5AED"/>
    <w:rsid w:val="731277DE"/>
    <w:rsid w:val="77FE1916"/>
    <w:rsid w:val="7DB42E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2477</Words>
  <Characters>2620</Characters>
  <Lines>0</Lines>
  <Paragraphs>0</Paragraphs>
  <TotalTime>15</TotalTime>
  <ScaleCrop>false</ScaleCrop>
  <LinksUpToDate>false</LinksUpToDate>
  <CharactersWithSpaces>2645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Administrator</cp:lastModifiedBy>
  <dcterms:modified xsi:type="dcterms:W3CDTF">2023-03-03T03:20:45Z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7EE2B1EE5847408387C8720E83DA87E9</vt:lpwstr>
  </property>
</Properties>
</file>