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jc w:val="center"/>
        <w:rPr>
          <w:rFonts w:hint="eastAsia" w:ascii="宋体" w:hAnsi="宋体" w:eastAsia="宋体" w:cs="宋体"/>
          <w:sz w:val="44"/>
          <w:szCs w:val="44"/>
          <w:lang w:val="en-US" w:eastAsia="zh-CN"/>
        </w:rPr>
      </w:pPr>
      <w:bookmarkStart w:id="0" w:name="_GoBack"/>
      <w:r>
        <w:rPr>
          <w:rFonts w:hint="eastAsia" w:ascii="宋体" w:hAnsi="宋体" w:cs="宋体"/>
          <w:sz w:val="44"/>
          <w:szCs w:val="44"/>
          <w:lang w:eastAsia="zh-CN"/>
        </w:rPr>
        <w:t>唐山国际旅游岛文化广电和旅游局</w:t>
      </w:r>
    </w:p>
    <w:p>
      <w:pPr>
        <w:spacing w:line="580" w:lineRule="exact"/>
        <w:ind w:firstLine="880"/>
        <w:jc w:val="center"/>
        <w:rPr>
          <w:rFonts w:hint="eastAsia" w:ascii="宋体" w:hAnsi="宋体" w:cs="宋体"/>
          <w:sz w:val="44"/>
          <w:szCs w:val="44"/>
        </w:rPr>
      </w:pPr>
      <w:r>
        <w:rPr>
          <w:rFonts w:hint="eastAsia" w:ascii="宋体" w:hAnsi="宋体" w:cs="宋体"/>
          <w:sz w:val="44"/>
          <w:szCs w:val="44"/>
        </w:rPr>
        <w:t>202</w:t>
      </w:r>
      <w:r>
        <w:rPr>
          <w:rFonts w:hint="eastAsia" w:ascii="宋体" w:hAnsi="宋体" w:cs="宋体"/>
          <w:sz w:val="44"/>
          <w:szCs w:val="44"/>
          <w:lang w:val="en-US" w:eastAsia="zh-CN"/>
        </w:rPr>
        <w:t>3</w:t>
      </w:r>
      <w:r>
        <w:rPr>
          <w:rFonts w:hint="eastAsia" w:ascii="宋体" w:hAnsi="宋体" w:cs="宋体"/>
          <w:sz w:val="44"/>
          <w:szCs w:val="44"/>
        </w:rPr>
        <w:t>年部门预算公开</w:t>
      </w:r>
    </w:p>
    <w:bookmarkEnd w:id="0"/>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根据《中华人民共和国预算法》、《唐山市财政局转发河北省财政厅&lt;河北省预决算公开操作规程实施细则&gt;的通知》（唐财预﹝2016﹞53号）和政府信息公开制度等有关规定，现将</w:t>
      </w:r>
      <w:r>
        <w:rPr>
          <w:rFonts w:hint="eastAsia" w:ascii="仿宋_GB2312" w:hAnsi="仿宋_GB2312" w:eastAsia="仿宋_GB2312" w:cs="仿宋_GB2312"/>
          <w:sz w:val="28"/>
          <w:szCs w:val="28"/>
          <w:lang w:eastAsia="zh-CN"/>
        </w:rPr>
        <w:t>文化广电和旅游局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年度部门预算及“三公”经费信息等有关情况说明如下:</w:t>
      </w:r>
    </w:p>
    <w:p>
      <w:pPr>
        <w:keepNext w:val="0"/>
        <w:keepLines w:val="0"/>
        <w:pageBreakBefore w:val="0"/>
        <w:widowControl w:val="0"/>
        <w:numPr>
          <w:ilvl w:val="0"/>
          <w:numId w:val="1"/>
        </w:numPr>
        <w:spacing w:line="240" w:lineRule="auto"/>
        <w:ind w:firstLine="560"/>
        <w:rPr>
          <w:rFonts w:hint="eastAsia" w:ascii="仿宋_GB2312" w:hAnsi="仿宋_GB2312" w:eastAsia="仿宋_GB2312" w:cs="仿宋_GB2312"/>
          <w:sz w:val="28"/>
          <w:szCs w:val="28"/>
          <w:lang w:val="en-US" w:eastAsia="zh-CN" w:bidi="ar"/>
        </w:rPr>
      </w:pPr>
      <w:r>
        <w:rPr>
          <w:rFonts w:hint="eastAsia" w:ascii="黑体" w:hAnsi="黑体" w:eastAsia="黑体" w:cs="黑体"/>
          <w:sz w:val="28"/>
          <w:szCs w:val="28"/>
        </w:rPr>
        <w:t>部门职责、机构设置等基本情况</w:t>
      </w:r>
      <w:r>
        <w:rPr>
          <w:rFonts w:hint="eastAsia" w:ascii="黑体" w:hAnsi="黑体" w:eastAsia="黑体" w:cs="黑体"/>
          <w:sz w:val="28"/>
          <w:szCs w:val="28"/>
          <w:lang w:val="en-US" w:eastAsia="zh-CN"/>
        </w:rPr>
        <w:br w:type="textWrapping" w:clear="all"/>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color w:val="000000"/>
          <w:sz w:val="28"/>
          <w:szCs w:val="28"/>
        </w:rPr>
        <w:t>办公室</w:t>
      </w:r>
      <w:r>
        <w:rPr>
          <w:rFonts w:hint="eastAsia" w:ascii="仿宋_GB2312" w:hAnsi="仿宋_GB2312" w:eastAsia="仿宋_GB2312" w:cs="仿宋_GB2312"/>
          <w:color w:val="000000"/>
          <w:sz w:val="28"/>
          <w:szCs w:val="28"/>
          <w:lang w:eastAsia="zh-CN"/>
        </w:rPr>
        <w:t>负责</w:t>
      </w:r>
      <w:r>
        <w:rPr>
          <w:rFonts w:hint="eastAsia" w:ascii="仿宋_GB2312" w:hAnsi="仿宋_GB2312" w:eastAsia="仿宋_GB2312" w:cs="仿宋_GB2312"/>
          <w:color w:val="000000"/>
          <w:sz w:val="28"/>
          <w:szCs w:val="28"/>
        </w:rPr>
        <w:t>协助局领导做好综合、协调、督促、检查、服务、上传下达等各项工作。</w:t>
      </w:r>
      <w:r>
        <w:rPr>
          <w:rFonts w:hint="eastAsia" w:ascii="仿宋_GB2312" w:hAnsi="仿宋_GB2312" w:eastAsia="仿宋_GB2312" w:cs="仿宋_GB2312"/>
          <w:sz w:val="28"/>
          <w:szCs w:val="28"/>
          <w:lang w:val="en-US" w:eastAsia="zh-CN" w:bidi="ar"/>
        </w:rPr>
        <w:br w:type="textWrapping" w:clear="all"/>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color w:val="000000"/>
          <w:sz w:val="28"/>
          <w:szCs w:val="28"/>
          <w:lang w:eastAsia="zh-CN"/>
        </w:rPr>
        <w:t>资源开发科负责拟定全区旅游政策措施；组织拟定区域内文化、文物、旅游等产业发展规划；承担全区文旅产业融合发展工作；指导全区重点及基层文化和旅游设施建设；拟定全区文化和旅游公共服务政策及公共文化事业发展规划，并组织实施；承担全区公共文化服务和旅游公共服务的指导、协调和推动工作；拟定全区旅游产业政策和发展规划并组织实施；承担全区文化和旅游资源普查、规划、开发和保护；负责全区乡村旅游和旅游扶贫工作；指导、推进全区全域旅游示范区、旅游度假区创建工作；指导全区重点旅游区域、目的地、线路的规划工作；指导全区文化和旅游产品创新及开发体系建设；组织开展旅游行业信息化、标准化建设工作。</w:t>
      </w:r>
    </w:p>
    <w:p>
      <w:pPr>
        <w:keepNext w:val="0"/>
        <w:keepLines w:val="0"/>
        <w:pageBreakBefore w:val="0"/>
        <w:widowControl w:val="0"/>
        <w:numPr>
          <w:ilvl w:val="0"/>
          <w:numId w:val="2"/>
        </w:numPr>
        <w:spacing w:line="240" w:lineRule="auto"/>
        <w:ind w:firstLine="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宣传和对外交流科负责拟定全区文化和旅游对外交流合作政策；拟定全区文化和旅游品牌推广规划，制定品牌战略并组织实施；指导、管理全区文化和旅游对外交流、合作；承办文化和旅游对外合作协定及其他合作文件的商签工作；承担区域内文化和旅游领域交流合作相关事务；组织大型文化和旅游对外交流推广活动；负责全区旅游统计工作。</w:t>
      </w:r>
    </w:p>
    <w:p>
      <w:pPr>
        <w:keepNext w:val="0"/>
        <w:keepLines w:val="0"/>
        <w:pageBreakBefore w:val="0"/>
        <w:widowControl w:val="0"/>
        <w:numPr>
          <w:ilvl w:val="0"/>
          <w:numId w:val="0"/>
        </w:numPr>
        <w:spacing w:line="240" w:lineRule="auto"/>
        <w:ind w:firstLine="56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color w:val="000000"/>
          <w:sz w:val="28"/>
          <w:szCs w:val="28"/>
          <w:lang w:eastAsia="zh-CN"/>
        </w:rPr>
        <w:t>市场管理科拟定全区文化、旅游市场政策和发展规划并组织实施；对全区文化和旅游市场经营进行行业监管；承担全区文化和旅游行业信用体系建设工作；组织拟定全区文化和旅游经营场所、设施、服务、产品等标准并监督实施；监管全区文化和旅游市场服务质量，指导服务质量提升；承担全区文化和旅游工作运行监测、旅游市场、旅游安全综合协调和监督管理；</w:t>
      </w:r>
    </w:p>
    <w:p>
      <w:pPr>
        <w:keepNext w:val="0"/>
        <w:keepLines w:val="0"/>
        <w:pageBreakBefore w:val="0"/>
        <w:widowControl/>
        <w:numPr>
          <w:ilvl w:val="0"/>
          <w:numId w:val="0"/>
        </w:numPr>
        <w:suppressLineNumbers w:val="0"/>
        <w:spacing w:line="240" w:lineRule="auto"/>
        <w:ind w:firstLine="56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color w:val="000000"/>
          <w:sz w:val="28"/>
          <w:szCs w:val="28"/>
          <w:lang w:eastAsia="zh-CN"/>
        </w:rPr>
        <w:t>执法科承担法律法规宣传教育；受理游客投诉事宜；承担机关行政复议、行政应诉和其他法律事务协调工作；开展旅游服务质量现场检查和旅游行政执法工作；维护行政区内的旅游市场秩序，打击扰乱旅游经营环境的违法行为，查出违法、违规案件；协调公安、工商等部门综合治理旅游市场、规范旅游经营活动；依法查处违法安装和设置卫星电视广播地面接收设施，违法接收和传递境外卫星电视节目和走私盗版影片放映行为；依法查处图书、报纸期刊、音像制品、电子出版等方面的违法违规出版活动和印刷、复制、出版物发行中的违法经营活动；承担“扫黄打非”有关工作任务；监督指导辖区内文化、旅游市场综合行政执法体系建设和综合执法工作。</w:t>
      </w:r>
    </w:p>
    <w:p>
      <w:pPr>
        <w:keepNext w:val="0"/>
        <w:keepLines w:val="0"/>
        <w:pageBreakBefore w:val="0"/>
        <w:widowControl/>
        <w:numPr>
          <w:ilvl w:val="0"/>
          <w:numId w:val="0"/>
        </w:numPr>
        <w:suppressLineNumbers w:val="0"/>
        <w:spacing w:line="240" w:lineRule="auto"/>
        <w:ind w:firstLine="560"/>
        <w:jc w:val="left"/>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color w:val="000000"/>
          <w:sz w:val="28"/>
          <w:szCs w:val="28"/>
          <w:lang w:eastAsia="zh-CN"/>
        </w:rPr>
        <w:t>产业科</w:t>
      </w:r>
      <w:r>
        <w:rPr>
          <w:rFonts w:hint="eastAsia" w:ascii="仿宋_GB2312" w:hAnsi="仿宋_GB2312" w:eastAsia="仿宋_GB2312" w:cs="仿宋_GB2312"/>
          <w:sz w:val="28"/>
          <w:szCs w:val="28"/>
          <w:lang w:val="en-US" w:eastAsia="zh-CN" w:bidi="ar"/>
        </w:rPr>
        <w:t>负责指导促进文化产业相关门类的发展；指导全区文化产业园区基地建设；组织全区文物资源调查；负责不可移动文化保护、修缮工作；拟定全区文化、文物、广电政策措施；拟定全区音乐、美术等文艺事业发展规划和扶持政策并组织实施；扶持体现地方特色的文艺作品和艺术团体，推动区域内艺术发展；指导区域内艺术展演、展览和重大文艺活动；指导全区群众文化、少数民族文化、未成年人文化和老年文化工作；指导全区图书馆，文化馆事业和基层综合性文化服务中心建设；拟定全区文化、文物和旅游科技创新发展工作；指导区域内文化公园建设；组织全区文物资源调查；负责不可移动文物保护工作，管理和指导全区考古、文物修缮工作；负责指导全区文物和博物馆的业务工作；组织指导文物保护宣传工作。</w:t>
      </w:r>
    </w:p>
    <w:p>
      <w:pPr>
        <w:keepNext w:val="0"/>
        <w:keepLines w:val="0"/>
        <w:pageBreakBefore w:val="0"/>
        <w:widowControl/>
        <w:numPr>
          <w:ilvl w:val="0"/>
          <w:numId w:val="0"/>
        </w:numPr>
        <w:suppressLineNumbers w:val="0"/>
        <w:spacing w:line="240" w:lineRule="auto"/>
        <w:ind w:firstLine="560"/>
        <w:jc w:val="left"/>
        <w:rPr>
          <w:rFonts w:hint="eastAsia" w:ascii="仿宋_GB2312" w:hAnsi="仿宋_GB2312" w:eastAsia="仿宋_GB2312" w:cs="仿宋_GB2312"/>
          <w:color w:val="222222"/>
          <w:sz w:val="28"/>
          <w:szCs w:val="28"/>
          <w:shd w:val="clear" w:color="auto" w:fill="FFFFFF"/>
        </w:rPr>
      </w:pPr>
      <w:r>
        <w:rPr>
          <w:rFonts w:hint="eastAsia" w:ascii="仿宋_GB2312" w:hAnsi="仿宋_GB2312" w:eastAsia="仿宋_GB2312" w:cs="仿宋_GB2312"/>
          <w:sz w:val="28"/>
          <w:szCs w:val="28"/>
          <w:lang w:val="en-US" w:eastAsia="zh-CN" w:bidi="ar"/>
        </w:rPr>
        <w:t xml:space="preserve">7.完成上级交办的其他任务。 </w:t>
      </w:r>
    </w:p>
    <w:p>
      <w:pPr>
        <w:pStyle w:val="186"/>
        <w:widowControl/>
        <w:shd w:val="clear" w:color="auto" w:fill="FFFFFF"/>
        <w:spacing w:before="0" w:beforeAutospacing="0" w:after="150" w:afterAutospacing="0" w:line="580" w:lineRule="exact"/>
        <w:ind w:firstLine="480"/>
        <w:jc w:val="both"/>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（二）部门预算单位构成</w:t>
      </w:r>
    </w:p>
    <w:p>
      <w:pPr>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我局属于行政单位，实有人数</w:t>
      </w:r>
      <w:r>
        <w:rPr>
          <w:rFonts w:hint="eastAsia" w:ascii="仿宋_GB2312" w:hAnsi="仿宋_GB2312" w:eastAsia="仿宋_GB2312" w:cs="仿宋_GB2312"/>
          <w:color w:val="000000"/>
          <w:sz w:val="28"/>
          <w:szCs w:val="28"/>
          <w:shd w:val="clear" w:color="auto" w:fill="FFFFFF"/>
          <w:lang w:val="en-US" w:eastAsia="zh-CN"/>
        </w:rPr>
        <w:t>26</w:t>
      </w:r>
      <w:r>
        <w:rPr>
          <w:rFonts w:hint="eastAsia" w:ascii="仿宋_GB2312" w:hAnsi="仿宋_GB2312" w:eastAsia="仿宋_GB2312" w:cs="仿宋_GB2312"/>
          <w:color w:val="000000"/>
          <w:sz w:val="28"/>
          <w:szCs w:val="28"/>
          <w:shd w:val="clear" w:color="auto" w:fill="FFFFFF"/>
        </w:rPr>
        <w:t>人，其中行政编制</w:t>
      </w: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人，事业编制</w:t>
      </w:r>
      <w:r>
        <w:rPr>
          <w:rFonts w:hint="eastAsia" w:ascii="仿宋_GB2312" w:hAnsi="仿宋_GB2312" w:eastAsia="仿宋_GB2312" w:cs="仿宋_GB2312"/>
          <w:color w:val="000000"/>
          <w:sz w:val="28"/>
          <w:szCs w:val="28"/>
          <w:shd w:val="clear" w:color="auto" w:fill="FFFFFF"/>
          <w:lang w:val="en-US" w:eastAsia="zh-CN"/>
        </w:rPr>
        <w:t>10</w:t>
      </w:r>
      <w:r>
        <w:rPr>
          <w:rFonts w:hint="eastAsia" w:ascii="仿宋_GB2312" w:hAnsi="仿宋_GB2312" w:eastAsia="仿宋_GB2312" w:cs="仿宋_GB2312"/>
          <w:color w:val="000000"/>
          <w:sz w:val="28"/>
          <w:szCs w:val="28"/>
          <w:shd w:val="clear" w:color="auto" w:fill="FFFFFF"/>
        </w:rPr>
        <w:t>人，其他</w:t>
      </w:r>
      <w:r>
        <w:rPr>
          <w:rFonts w:hint="eastAsia" w:ascii="仿宋_GB2312" w:hAnsi="仿宋_GB2312" w:eastAsia="仿宋_GB2312" w:cs="仿宋_GB2312"/>
          <w:color w:val="000000"/>
          <w:sz w:val="28"/>
          <w:szCs w:val="28"/>
          <w:shd w:val="clear" w:color="auto" w:fill="FFFFFF"/>
          <w:lang w:val="en-US" w:eastAsia="zh-CN"/>
        </w:rPr>
        <w:t>14</w:t>
      </w:r>
      <w:r>
        <w:rPr>
          <w:rFonts w:hint="eastAsia" w:ascii="仿宋_GB2312" w:hAnsi="仿宋_GB2312" w:eastAsia="仿宋_GB2312" w:cs="仿宋_GB2312"/>
          <w:color w:val="000000"/>
          <w:sz w:val="28"/>
          <w:szCs w:val="28"/>
          <w:shd w:val="clear" w:color="auto" w:fill="FFFFFF"/>
        </w:rPr>
        <w:t>人</w:t>
      </w:r>
      <w:r>
        <w:rPr>
          <w:rFonts w:hint="eastAsia" w:ascii="仿宋_GB2312" w:hAnsi="仿宋_GB2312" w:eastAsia="仿宋_GB2312" w:cs="仿宋_GB2312"/>
          <w:color w:val="000000"/>
          <w:sz w:val="28"/>
          <w:szCs w:val="28"/>
        </w:rPr>
        <w:t>。下设办公室、</w:t>
      </w:r>
      <w:r>
        <w:rPr>
          <w:rFonts w:hint="eastAsia" w:ascii="仿宋_GB2312" w:hAnsi="仿宋_GB2312" w:eastAsia="仿宋_GB2312" w:cs="仿宋_GB2312"/>
          <w:color w:val="000000"/>
          <w:sz w:val="28"/>
          <w:szCs w:val="28"/>
          <w:lang w:eastAsia="zh-CN"/>
        </w:rPr>
        <w:t>资源开发科、宣传和对外交流科、市场管理科、执法科、产业科</w:t>
      </w:r>
      <w:r>
        <w:rPr>
          <w:rFonts w:hint="eastAsia" w:ascii="仿宋_GB2312" w:hAnsi="仿宋_GB2312" w:eastAsia="仿宋_GB2312" w:cs="仿宋_GB2312"/>
          <w:color w:val="000000"/>
          <w:sz w:val="28"/>
          <w:szCs w:val="28"/>
        </w:rPr>
        <w:t>。</w:t>
      </w:r>
    </w:p>
    <w:p>
      <w:pPr>
        <w:ind w:firstLine="560"/>
        <w:rPr>
          <w:rFonts w:hint="eastAsia" w:ascii="黑体" w:hAnsi="黑体" w:eastAsia="黑体" w:cs="黑体"/>
          <w:sz w:val="28"/>
          <w:szCs w:val="28"/>
        </w:rPr>
      </w:pPr>
      <w:r>
        <w:rPr>
          <w:rFonts w:hint="eastAsia" w:ascii="黑体" w:hAnsi="黑体" w:eastAsia="黑体" w:cs="黑体"/>
          <w:sz w:val="28"/>
          <w:szCs w:val="28"/>
        </w:rPr>
        <w:t>二、部门预算安排总体情况</w:t>
      </w:r>
    </w:p>
    <w:p>
      <w:pPr>
        <w:ind w:firstLine="560"/>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本年收入</w:t>
      </w:r>
      <w:r>
        <w:rPr>
          <w:rFonts w:hint="eastAsia" w:ascii="仿宋_GB2312" w:hAnsi="仿宋_GB2312" w:eastAsia="仿宋_GB2312" w:cs="仿宋_GB2312"/>
          <w:color w:val="000000"/>
          <w:sz w:val="28"/>
          <w:szCs w:val="28"/>
          <w:lang w:val="en-US" w:eastAsia="zh-CN"/>
        </w:rPr>
        <w:t>453.52</w:t>
      </w:r>
      <w:r>
        <w:rPr>
          <w:rFonts w:hint="eastAsia" w:ascii="仿宋_GB2312" w:hAnsi="仿宋_GB2312" w:eastAsia="仿宋_GB2312" w:cs="仿宋_GB2312"/>
          <w:color w:val="000000"/>
          <w:sz w:val="28"/>
          <w:szCs w:val="28"/>
        </w:rPr>
        <w:t>万元，全部为财政拨款收入；本年支出</w:t>
      </w:r>
      <w:r>
        <w:rPr>
          <w:rFonts w:hint="eastAsia" w:ascii="仿宋_GB2312" w:hAnsi="仿宋_GB2312" w:eastAsia="仿宋_GB2312" w:cs="仿宋_GB2312"/>
          <w:color w:val="000000"/>
          <w:sz w:val="28"/>
          <w:szCs w:val="28"/>
          <w:lang w:val="en-US" w:eastAsia="zh-CN"/>
        </w:rPr>
        <w:t>453.52</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包括一般公共预算支出</w:t>
      </w:r>
      <w:r>
        <w:rPr>
          <w:rFonts w:hint="eastAsia" w:ascii="仿宋_GB2312" w:hAnsi="仿宋_GB2312" w:eastAsia="仿宋_GB2312" w:cs="仿宋_GB2312"/>
          <w:color w:val="000000"/>
          <w:sz w:val="28"/>
          <w:szCs w:val="28"/>
          <w:lang w:val="en-US" w:eastAsia="zh-CN"/>
        </w:rPr>
        <w:t>453.52万元，</w:t>
      </w:r>
      <w:r>
        <w:rPr>
          <w:rFonts w:hint="eastAsia" w:ascii="仿宋_GB2312" w:hAnsi="仿宋_GB2312" w:eastAsia="仿宋_GB2312" w:cs="仿宋_GB2312"/>
          <w:color w:val="000000"/>
          <w:sz w:val="28"/>
          <w:szCs w:val="28"/>
          <w:lang w:eastAsia="zh-CN"/>
        </w:rPr>
        <w:t>一般公共预算支出</w:t>
      </w:r>
      <w:r>
        <w:rPr>
          <w:rFonts w:hint="eastAsia" w:ascii="仿宋_GB2312" w:hAnsi="仿宋_GB2312" w:eastAsia="仿宋_GB2312" w:cs="仿宋_GB2312"/>
          <w:color w:val="000000"/>
          <w:sz w:val="28"/>
          <w:szCs w:val="28"/>
        </w:rPr>
        <w:t>中</w:t>
      </w:r>
      <w:r>
        <w:rPr>
          <w:rFonts w:hint="eastAsia" w:ascii="仿宋_GB2312" w:hAnsi="仿宋_GB2312" w:eastAsia="仿宋_GB2312" w:cs="仿宋_GB2312"/>
          <w:color w:val="000000"/>
          <w:sz w:val="28"/>
          <w:szCs w:val="28"/>
          <w:lang w:eastAsia="zh-CN"/>
        </w:rPr>
        <w:t>包括</w:t>
      </w:r>
      <w:r>
        <w:rPr>
          <w:rFonts w:hint="eastAsia" w:ascii="仿宋_GB2312" w:hAnsi="仿宋_GB2312" w:eastAsia="仿宋_GB2312" w:cs="仿宋_GB2312"/>
          <w:color w:val="000000"/>
          <w:sz w:val="28"/>
          <w:szCs w:val="28"/>
        </w:rPr>
        <w:t>人员经费</w:t>
      </w:r>
      <w:r>
        <w:rPr>
          <w:rFonts w:hint="eastAsia" w:ascii="仿宋_GB2312" w:hAnsi="仿宋_GB2312" w:eastAsia="仿宋_GB2312" w:cs="仿宋_GB2312"/>
          <w:color w:val="000000"/>
          <w:sz w:val="28"/>
          <w:szCs w:val="28"/>
          <w:lang w:val="en-US" w:eastAsia="zh-CN"/>
        </w:rPr>
        <w:t>128.67</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比去年增加</w:t>
      </w:r>
      <w:r>
        <w:rPr>
          <w:rFonts w:hint="eastAsia" w:ascii="仿宋_GB2312" w:hAnsi="仿宋_GB2312" w:eastAsia="仿宋_GB2312" w:cs="仿宋_GB2312"/>
          <w:color w:val="000000"/>
          <w:sz w:val="28"/>
          <w:szCs w:val="28"/>
          <w:lang w:val="en-US" w:eastAsia="zh-CN"/>
        </w:rPr>
        <w:t>10.89万元；</w:t>
      </w:r>
      <w:r>
        <w:rPr>
          <w:rFonts w:hint="eastAsia" w:ascii="仿宋_GB2312" w:hAnsi="仿宋_GB2312" w:eastAsia="仿宋_GB2312" w:cs="仿宋_GB2312"/>
          <w:color w:val="000000"/>
          <w:sz w:val="28"/>
          <w:szCs w:val="28"/>
        </w:rPr>
        <w:t>日常公用经费</w:t>
      </w:r>
      <w:r>
        <w:rPr>
          <w:rFonts w:hint="eastAsia" w:ascii="仿宋_GB2312" w:hAnsi="仿宋_GB2312" w:eastAsia="仿宋_GB2312" w:cs="仿宋_GB2312"/>
          <w:color w:val="000000"/>
          <w:sz w:val="28"/>
          <w:szCs w:val="28"/>
          <w:lang w:val="en-US" w:eastAsia="zh-CN"/>
        </w:rPr>
        <w:t>14.55</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比去年减少</w:t>
      </w:r>
      <w:r>
        <w:rPr>
          <w:rFonts w:hint="eastAsia" w:ascii="仿宋_GB2312" w:hAnsi="仿宋_GB2312" w:eastAsia="仿宋_GB2312" w:cs="仿宋_GB2312"/>
          <w:color w:val="000000"/>
          <w:sz w:val="28"/>
          <w:szCs w:val="28"/>
          <w:lang w:val="en-US" w:eastAsia="zh-CN"/>
        </w:rPr>
        <w:t>0.48万元；</w:t>
      </w:r>
      <w:r>
        <w:rPr>
          <w:rFonts w:hint="eastAsia" w:ascii="仿宋_GB2312" w:hAnsi="仿宋_GB2312" w:eastAsia="仿宋_GB2312" w:cs="仿宋_GB2312"/>
          <w:color w:val="000000"/>
          <w:sz w:val="28"/>
          <w:szCs w:val="28"/>
        </w:rPr>
        <w:t>项目支出</w:t>
      </w:r>
      <w:r>
        <w:rPr>
          <w:rFonts w:hint="eastAsia" w:ascii="仿宋_GB2312" w:hAnsi="仿宋_GB2312" w:eastAsia="仿宋_GB2312" w:cs="仿宋_GB2312"/>
          <w:color w:val="000000"/>
          <w:sz w:val="28"/>
          <w:szCs w:val="28"/>
          <w:lang w:val="en-US" w:eastAsia="zh-CN"/>
        </w:rPr>
        <w:t>310.3</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，比去年增加</w:t>
      </w:r>
      <w:r>
        <w:rPr>
          <w:rFonts w:hint="eastAsia" w:ascii="仿宋_GB2312" w:hAnsi="仿宋_GB2312" w:eastAsia="仿宋_GB2312" w:cs="仿宋_GB2312"/>
          <w:color w:val="000000"/>
          <w:sz w:val="28"/>
          <w:szCs w:val="28"/>
          <w:lang w:val="en-US" w:eastAsia="zh-CN"/>
        </w:rPr>
        <w:t>0.83万元</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本年度项目主要为规划设计费</w:t>
      </w:r>
      <w:r>
        <w:rPr>
          <w:rFonts w:hint="eastAsia" w:ascii="仿宋_GB2312" w:hAnsi="仿宋_GB2312" w:eastAsia="仿宋_GB2312" w:cs="仿宋_GB2312"/>
          <w:color w:val="000000"/>
          <w:sz w:val="28"/>
          <w:szCs w:val="28"/>
          <w:lang w:val="en-US" w:eastAsia="zh-CN"/>
        </w:rPr>
        <w:t>100万元，旅游宣传费130万元，印刷费15万元，旅发大会指示牌13.5万元，文创商品设计费10万元。</w:t>
      </w:r>
    </w:p>
    <w:p>
      <w:pPr>
        <w:ind w:firstLine="560"/>
        <w:rPr>
          <w:rFonts w:hint="eastAsia" w:ascii="黑体" w:hAnsi="黑体" w:eastAsia="黑体" w:cs="黑体"/>
          <w:sz w:val="28"/>
          <w:szCs w:val="28"/>
        </w:rPr>
      </w:pPr>
      <w:r>
        <w:rPr>
          <w:rFonts w:hint="eastAsia" w:ascii="黑体" w:hAnsi="黑体" w:eastAsia="黑体" w:cs="黑体"/>
          <w:sz w:val="28"/>
          <w:szCs w:val="28"/>
        </w:rPr>
        <w:t>三、机关运行经费安排情况</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机关运行经费</w:t>
      </w:r>
      <w:r>
        <w:rPr>
          <w:rFonts w:hint="eastAsia" w:ascii="仿宋_GB2312" w:hAnsi="仿宋_GB2312" w:eastAsia="仿宋_GB2312" w:cs="仿宋_GB2312"/>
          <w:sz w:val="28"/>
          <w:szCs w:val="28"/>
          <w:lang w:val="en-US" w:eastAsia="zh-CN"/>
        </w:rPr>
        <w:t>14.55</w:t>
      </w:r>
      <w:r>
        <w:rPr>
          <w:rFonts w:hint="eastAsia" w:ascii="仿宋_GB2312" w:hAnsi="仿宋_GB2312" w:eastAsia="仿宋_GB2312" w:cs="仿宋_GB2312"/>
          <w:sz w:val="28"/>
          <w:szCs w:val="28"/>
        </w:rPr>
        <w:t>万元，主要是办公费</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万元，书报杂志费</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rPr>
        <w:t>万元，印刷费</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 手续费</w:t>
      </w:r>
      <w:r>
        <w:rPr>
          <w:rFonts w:hint="eastAsia" w:ascii="仿宋_GB2312" w:hAnsi="仿宋_GB2312" w:eastAsia="仿宋_GB2312" w:cs="仿宋_GB2312"/>
          <w:sz w:val="28"/>
          <w:szCs w:val="28"/>
          <w:lang w:val="en-US" w:eastAsia="zh-CN"/>
        </w:rPr>
        <w:t>0.05</w:t>
      </w:r>
      <w:r>
        <w:rPr>
          <w:rFonts w:hint="eastAsia" w:ascii="仿宋_GB2312" w:hAnsi="仿宋_GB2312" w:eastAsia="仿宋_GB2312" w:cs="仿宋_GB2312"/>
          <w:sz w:val="28"/>
          <w:szCs w:val="28"/>
        </w:rPr>
        <w:t>万元，差旅费</w:t>
      </w:r>
      <w:r>
        <w:rPr>
          <w:rFonts w:hint="eastAsia" w:ascii="仿宋_GB2312" w:hAnsi="仿宋_GB2312" w:eastAsia="仿宋_GB2312" w:cs="仿宋_GB2312"/>
          <w:sz w:val="28"/>
          <w:szCs w:val="28"/>
          <w:lang w:val="en-US" w:eastAsia="zh-CN"/>
        </w:rPr>
        <w:t>4.72</w:t>
      </w:r>
      <w:r>
        <w:rPr>
          <w:rFonts w:hint="eastAsia" w:ascii="仿宋_GB2312" w:hAnsi="仿宋_GB2312" w:eastAsia="仿宋_GB2312" w:cs="仿宋_GB2312"/>
          <w:sz w:val="28"/>
          <w:szCs w:val="28"/>
        </w:rPr>
        <w:t>万元,维修（护）费</w:t>
      </w:r>
      <w:r>
        <w:rPr>
          <w:rFonts w:hint="eastAsia" w:ascii="仿宋_GB2312" w:hAnsi="仿宋_GB2312" w:eastAsia="仿宋_GB2312" w:cs="仿宋_GB2312"/>
          <w:sz w:val="28"/>
          <w:szCs w:val="28"/>
          <w:lang w:val="en-US" w:eastAsia="zh-CN"/>
        </w:rPr>
        <w:t>0.58</w:t>
      </w:r>
      <w:r>
        <w:rPr>
          <w:rFonts w:hint="eastAsia" w:ascii="仿宋_GB2312" w:hAnsi="仿宋_GB2312" w:eastAsia="仿宋_GB2312" w:cs="仿宋_GB2312"/>
          <w:sz w:val="28"/>
          <w:szCs w:val="28"/>
        </w:rPr>
        <w:t>万元，培训费</w:t>
      </w:r>
      <w:r>
        <w:rPr>
          <w:rFonts w:hint="eastAsia" w:ascii="仿宋_GB2312" w:hAnsi="仿宋_GB2312" w:eastAsia="仿宋_GB2312" w:cs="仿宋_GB2312"/>
          <w:sz w:val="28"/>
          <w:szCs w:val="28"/>
          <w:lang w:val="en-US" w:eastAsia="zh-CN"/>
        </w:rPr>
        <w:t>0.4</w:t>
      </w:r>
      <w:r>
        <w:rPr>
          <w:rFonts w:hint="eastAsia" w:ascii="仿宋_GB2312" w:hAnsi="仿宋_GB2312" w:eastAsia="仿宋_GB2312" w:cs="仿宋_GB2312"/>
          <w:sz w:val="28"/>
          <w:szCs w:val="28"/>
        </w:rPr>
        <w:t>万元，邮电费</w:t>
      </w:r>
      <w:r>
        <w:rPr>
          <w:rFonts w:hint="eastAsia" w:ascii="仿宋_GB2312" w:hAnsi="仿宋_GB2312" w:eastAsia="仿宋_GB2312" w:cs="仿宋_GB2312"/>
          <w:sz w:val="28"/>
          <w:szCs w:val="28"/>
          <w:lang w:val="en-US" w:eastAsia="zh-CN"/>
        </w:rPr>
        <w:t>1.14</w:t>
      </w:r>
      <w:r>
        <w:rPr>
          <w:rFonts w:hint="eastAsia" w:ascii="仿宋_GB2312" w:hAnsi="仿宋_GB2312" w:eastAsia="仿宋_GB2312" w:cs="仿宋_GB2312"/>
          <w:sz w:val="28"/>
          <w:szCs w:val="28"/>
        </w:rPr>
        <w:t>万元（包括公务员通讯补贴</w:t>
      </w:r>
      <w:r>
        <w:rPr>
          <w:rFonts w:hint="eastAsia" w:ascii="仿宋_GB2312" w:hAnsi="仿宋_GB2312" w:eastAsia="仿宋_GB2312" w:cs="仿宋_GB2312"/>
          <w:sz w:val="28"/>
          <w:szCs w:val="28"/>
          <w:lang w:val="en-US" w:eastAsia="zh-CN"/>
        </w:rPr>
        <w:t>0.94</w:t>
      </w:r>
      <w:r>
        <w:rPr>
          <w:rFonts w:hint="eastAsia" w:ascii="仿宋_GB2312" w:hAnsi="仿宋_GB2312" w:eastAsia="仿宋_GB2312" w:cs="仿宋_GB2312"/>
          <w:sz w:val="28"/>
          <w:szCs w:val="28"/>
        </w:rPr>
        <w:t>万元），其他交通费（公务员交通补贴）</w:t>
      </w:r>
      <w:r>
        <w:rPr>
          <w:rFonts w:hint="eastAsia" w:ascii="仿宋_GB2312" w:hAnsi="仿宋_GB2312" w:eastAsia="仿宋_GB2312" w:cs="仿宋_GB2312"/>
          <w:sz w:val="28"/>
          <w:szCs w:val="28"/>
          <w:lang w:val="en-US" w:eastAsia="zh-CN"/>
        </w:rPr>
        <w:t>1.26</w:t>
      </w:r>
      <w:r>
        <w:rPr>
          <w:rFonts w:hint="eastAsia" w:ascii="仿宋_GB2312" w:hAnsi="仿宋_GB2312" w:eastAsia="仿宋_GB2312" w:cs="仿宋_GB2312"/>
          <w:sz w:val="28"/>
          <w:szCs w:val="28"/>
        </w:rPr>
        <w:t>万元，其他商品和服务支出</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万元。</w:t>
      </w:r>
    </w:p>
    <w:p>
      <w:pPr>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四、财政拨款“三公”经费预算情况</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年我局一般公共预算安排的 “三公”经费预算安排0万元。具体安排情况为： </w:t>
      </w:r>
      <w:r>
        <w:rPr>
          <w:rFonts w:hint="eastAsia" w:ascii="仿宋_GB2312" w:hAnsi="仿宋_GB2312" w:eastAsia="仿宋_GB2312" w:cs="仿宋_GB2312"/>
          <w:sz w:val="28"/>
          <w:szCs w:val="28"/>
        </w:rPr>
        <w:br w:type="textWrapping" w:clear="all"/>
      </w:r>
      <w:r>
        <w:rPr>
          <w:rFonts w:hint="eastAsia" w:ascii="仿宋_GB2312" w:hAnsi="仿宋_GB2312" w:eastAsia="仿宋_GB2312" w:cs="仿宋_GB2312"/>
          <w:sz w:val="28"/>
          <w:szCs w:val="28"/>
        </w:rPr>
        <w:t xml:space="preserve">   1、公务用车购置及运行费均为0万元，与上年持平。</w:t>
      </w:r>
      <w:r>
        <w:rPr>
          <w:rFonts w:hint="eastAsia" w:ascii="仿宋_GB2312" w:hAnsi="仿宋_GB2312" w:eastAsia="仿宋_GB2312" w:cs="仿宋_GB2312"/>
          <w:sz w:val="28"/>
          <w:szCs w:val="28"/>
        </w:rPr>
        <w:br w:type="textWrapping" w:clear="all"/>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sz w:val="28"/>
          <w:szCs w:val="28"/>
        </w:rPr>
        <w:t xml:space="preserve"> 2、公务接待费安排0万元。与上年持平。</w:t>
      </w:r>
    </w:p>
    <w:p>
      <w:pPr>
        <w:ind w:firstLine="2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3、因公出国（境）费安排0万元，与上年持平。 </w:t>
      </w:r>
    </w:p>
    <w:p>
      <w:pPr>
        <w:ind w:firstLine="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我</w:t>
      </w:r>
      <w:r>
        <w:rPr>
          <w:rFonts w:hint="eastAsia" w:ascii="仿宋_GB2312" w:hAnsi="仿宋_GB2312" w:eastAsia="仿宋_GB2312" w:cs="仿宋_GB2312"/>
          <w:color w:val="000000"/>
          <w:sz w:val="28"/>
          <w:szCs w:val="28"/>
          <w:lang w:eastAsia="zh-CN"/>
        </w:rPr>
        <w:t>局</w:t>
      </w:r>
      <w:r>
        <w:rPr>
          <w:rFonts w:hint="eastAsia" w:ascii="仿宋_GB2312" w:hAnsi="仿宋_GB2312" w:eastAsia="仿宋_GB2312" w:cs="仿宋_GB2312"/>
          <w:color w:val="000000"/>
          <w:sz w:val="28"/>
          <w:szCs w:val="28"/>
        </w:rPr>
        <w:t>无国有资本经营预算和财政专户核拨资金安排的“三公”经费预算</w:t>
      </w:r>
      <w:r>
        <w:rPr>
          <w:rFonts w:hint="eastAsia" w:ascii="仿宋_GB2312" w:hAnsi="仿宋_GB2312" w:eastAsia="仿宋_GB2312" w:cs="仿宋_GB2312"/>
          <w:color w:val="000000"/>
          <w:sz w:val="28"/>
          <w:szCs w:val="28"/>
          <w:lang w:eastAsia="zh-CN"/>
        </w:rPr>
        <w:t>，与去年持平。</w:t>
      </w:r>
    </w:p>
    <w:p>
      <w:pPr>
        <w:ind w:firstLine="560"/>
        <w:rPr>
          <w:rFonts w:hint="eastAsia" w:ascii="黑体" w:hAnsi="黑体" w:eastAsia="黑体" w:cs="黑体"/>
          <w:sz w:val="28"/>
          <w:szCs w:val="28"/>
        </w:rPr>
      </w:pPr>
      <w:r>
        <w:rPr>
          <w:rFonts w:hint="eastAsia" w:ascii="黑体" w:hAnsi="黑体" w:eastAsia="黑体" w:cs="黑体"/>
          <w:sz w:val="28"/>
          <w:szCs w:val="28"/>
        </w:rPr>
        <w:t>五、绩效预算信息情况</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我省绩效预算管理改革的要求，我局积极组织相关人员学习了解相关政策和依据，在市局的具体指导下，按方案规定的步骤开展预算绩效管理工作。按照建立全面规范、公开透明的政府预算管理制度要求，坚持和完善预算编制、执行、监督相互分离、相互制约的预算管理机制；以规范的绩效预算管理结构为基础、形成“预算编制有目标、预算执行有监控、预算完成有评价、评价结果有应用、绩效缺失有问责”的全过程绩效预算管理新机制。</w:t>
      </w:r>
    </w:p>
    <w:p>
      <w:pPr>
        <w:keepNext w:val="0"/>
        <w:keepLines w:val="0"/>
        <w:pageBreakBefore w:val="0"/>
        <w:widowControl w:val="0"/>
        <w:numPr>
          <w:ilvl w:val="0"/>
          <w:numId w:val="0"/>
        </w:numPr>
        <w:spacing w:line="240" w:lineRule="auto"/>
        <w:ind w:firstLine="560"/>
        <w:rPr>
          <w:rFonts w:hint="eastAsia" w:ascii="仿宋_GB2312" w:hAnsi="仿宋_GB2312" w:eastAsia="仿宋_GB2312" w:cs="仿宋_GB2312"/>
          <w:sz w:val="28"/>
          <w:szCs w:val="28"/>
        </w:rPr>
      </w:pPr>
      <w:r>
        <w:rPr>
          <w:rFonts w:hint="eastAsia" w:ascii="黑体" w:hAnsi="黑体" w:eastAsia="黑体" w:cs="黑体"/>
          <w:sz w:val="28"/>
          <w:szCs w:val="28"/>
        </w:rPr>
        <w:t>我局工作职责包括：</w:t>
      </w:r>
      <w:r>
        <w:rPr>
          <w:rFonts w:hint="eastAsia" w:ascii="仿宋_GB2312" w:hAnsi="仿宋_GB2312" w:eastAsia="仿宋_GB2312" w:cs="仿宋_GB2312"/>
          <w:color w:val="000000"/>
          <w:sz w:val="28"/>
          <w:szCs w:val="28"/>
          <w:lang w:eastAsia="zh-CN"/>
        </w:rPr>
        <w:t>拟定全区旅游政策措施；组织拟定区域内文化、文物、旅游等产业发展规划；承担全区文旅产业融合发展工作；指导全区重点及基层文化和旅游设施建设；拟定全区文化和旅游公共服务政策及公共文化事业发展规划，并组织实施；承担全区公共文化服务和旅游公共服务的指导、协调和推动工作；拟定全区旅游产业政策和发展规划并组织实施；承担全区文化和旅游资源普查、规划、开发和保护；负责全区乡村旅游和旅游扶贫工作；指导、推进全区全域旅游示范区、旅游度假区创建工作；指导全区重点旅游区域、目的地、线路的规划工作；指导全区文化和旅游产品创新及开发体系建设；组织开展旅游行业信息化、标准化建设工作；拟定全区文化和旅游对外交流合作政策；拟定全区文化和旅游品牌推广规划，制定品牌战略并组织实施；指导、管理全区文化和旅游对外交流、合作；承办文化和旅游对外合作协定及其他合作文件的商签工作；承担区域内文化和旅游领域交流合作相关事务；组织大型文化和旅游对外交流推广活动；负责全区旅游统计工作；拟定全区文化、旅游市场政策和发展规划并组织实施；对全区文化和旅游市场经营进行行业监管；承担全区文化和旅游行业信用体系建设工作；组织拟定全区文化和旅游经营场所、设施、服务、产品等标准并监督实施；监管全区文化和旅游市场服务质量，指导服务质量提升；承担全区文化和旅游工作运行监测、旅游市场、旅游安全综合协调和监督管理；承担法律法规宣传教育；受理游客投诉事宜；承担机关行政复议、行政应诉和其他法律事务协调工作；开展旅游服务质量现场检查和旅游行政执法工作；维护行政区内的旅游市场秩序，打击扰乱旅游经营环境的违法行为，查出违法、违规案件；协调公安、工商等部门综合治理旅游市场、规范旅游经营活动；依法查处违法安装和设置卫星电视广播地面接收设施，违法接收和传递境外卫星电视节目和走私盗版影片放映行为；依法查处图书、报纸期刊、音像制品、电子出版等方面的违法违规出版活动和印刷、复制、出版物发行中的违法经营活动；承担“扫黄打非”有关工作任务；监督指导辖区内文化、旅游市场综合行政执法体系建设和综合执法工作；</w:t>
      </w:r>
      <w:r>
        <w:rPr>
          <w:rFonts w:hint="eastAsia" w:ascii="仿宋_GB2312" w:hAnsi="仿宋_GB2312" w:eastAsia="仿宋_GB2312" w:cs="仿宋_GB2312"/>
          <w:sz w:val="28"/>
          <w:szCs w:val="28"/>
          <w:lang w:val="en-US" w:eastAsia="zh-CN" w:bidi="ar"/>
        </w:rPr>
        <w:t>负责指导促进文化产业相关门类的发展；指导全区文化产业园区基地建设；组织全区文物资源调查；负责不可移动文化保护、修缮工作；拟定全区文化、文物、广电政策措施；拟定全区音乐、美术等文艺事业发展规划和扶持政策并组织实施；扶持体现地方特色的文艺作品和艺术团体，推动区域内艺术发展；指导区域内艺术展演、展览和重大文艺活动；指导全区群众文化、少数民族文化、未成年人文化和老年文化工作；指导全区图书馆，文化馆事业和基层综合性文化服务中心建设；拟定全区文化、文物和旅游科技创新发展工作；指导区域内文化公园建设；组织全区文物资源调查；负责不可移动文物保护工作，管理和指导全区考古、文物修缮工作；负责指导全区文物和博物馆的业务工作；组织指导文物保护宣传工作。</w:t>
      </w:r>
    </w:p>
    <w:p>
      <w:pPr>
        <w:ind w:firstLine="560"/>
        <w:rPr>
          <w:rFonts w:hint="eastAsia" w:ascii="仿宋_GB2312" w:hAnsi="仿宋_GB2312" w:eastAsia="仿宋_GB2312" w:cs="仿宋_GB2312"/>
          <w:color w:val="222222"/>
          <w:sz w:val="28"/>
          <w:szCs w:val="28"/>
          <w:shd w:val="clear" w:color="auto" w:fill="FFFFFF"/>
        </w:rPr>
      </w:pPr>
      <w:r>
        <w:rPr>
          <w:rFonts w:hint="eastAsia" w:ascii="黑体" w:hAnsi="黑体" w:eastAsia="黑体" w:cs="黑体"/>
          <w:sz w:val="28"/>
          <w:szCs w:val="28"/>
        </w:rPr>
        <w:t>绩效目标是：</w:t>
      </w:r>
      <w:r>
        <w:rPr>
          <w:rFonts w:hint="eastAsia" w:ascii="仿宋_GB2312" w:hAnsi="仿宋_GB2312" w:eastAsia="仿宋_GB2312" w:cs="仿宋_GB2312"/>
          <w:color w:val="222222"/>
          <w:sz w:val="28"/>
          <w:szCs w:val="28"/>
          <w:shd w:val="clear" w:color="auto" w:fill="FFFFFF"/>
        </w:rPr>
        <w:t>1、按时按量完成职责范围内各项工作。2、对旅游区与旅游资源综合评价、市场分析、要素安排</w:t>
      </w:r>
      <w:r>
        <w:rPr>
          <w:rFonts w:hint="eastAsia" w:ascii="仿宋_GB2312" w:hAnsi="仿宋_GB2312" w:eastAsia="仿宋_GB2312" w:cs="仿宋_GB2312"/>
          <w:color w:val="222222"/>
          <w:sz w:val="28"/>
          <w:szCs w:val="28"/>
          <w:shd w:val="clear" w:color="auto" w:fill="FFFFFF"/>
          <w:lang w:eastAsia="zh-CN"/>
        </w:rPr>
        <w:t>等</w:t>
      </w:r>
      <w:r>
        <w:rPr>
          <w:rFonts w:hint="eastAsia" w:ascii="仿宋_GB2312" w:hAnsi="仿宋_GB2312" w:eastAsia="仿宋_GB2312" w:cs="仿宋_GB2312"/>
          <w:color w:val="222222"/>
          <w:sz w:val="28"/>
          <w:szCs w:val="28"/>
          <w:shd w:val="clear" w:color="auto" w:fill="FFFFFF"/>
        </w:rPr>
        <w:t>计划，对标国家级旅游度假区创建标准进行旅游度假区规划</w:t>
      </w:r>
      <w:r>
        <w:rPr>
          <w:rFonts w:hint="eastAsia" w:ascii="仿宋_GB2312" w:hAnsi="仿宋_GB2312" w:eastAsia="仿宋_GB2312" w:cs="仿宋_GB2312"/>
          <w:color w:val="222222"/>
          <w:sz w:val="28"/>
          <w:szCs w:val="28"/>
          <w:shd w:val="clear" w:color="auto" w:fill="FFFFFF"/>
          <w:lang w:eastAsia="zh-CN"/>
        </w:rPr>
        <w:t>，</w:t>
      </w:r>
      <w:r>
        <w:rPr>
          <w:rFonts w:hint="eastAsia" w:ascii="仿宋_GB2312" w:hAnsi="仿宋_GB2312" w:eastAsia="仿宋_GB2312" w:cs="仿宋_GB2312"/>
          <w:color w:val="222222"/>
          <w:sz w:val="28"/>
          <w:szCs w:val="28"/>
          <w:shd w:val="clear" w:color="auto" w:fill="FFFFFF"/>
        </w:rPr>
        <w:t>完成全区国家级旅游度假区旅游规划。</w:t>
      </w:r>
      <w:r>
        <w:rPr>
          <w:rFonts w:hint="eastAsia" w:ascii="仿宋_GB2312" w:hAnsi="仿宋_GB2312" w:eastAsia="仿宋_GB2312" w:cs="仿宋_GB2312"/>
          <w:color w:val="222222"/>
          <w:sz w:val="28"/>
          <w:szCs w:val="28"/>
          <w:shd w:val="clear" w:color="auto" w:fill="FFFFFF"/>
          <w:lang w:val="en-US" w:eastAsia="zh-CN"/>
        </w:rPr>
        <w:t>3、</w:t>
      </w:r>
      <w:r>
        <w:rPr>
          <w:rFonts w:hint="eastAsia" w:ascii="仿宋_GB2312" w:hAnsi="仿宋_GB2312" w:eastAsia="仿宋_GB2312" w:cs="仿宋_GB2312"/>
          <w:color w:val="222222"/>
          <w:sz w:val="28"/>
          <w:szCs w:val="28"/>
          <w:shd w:val="clear" w:color="auto" w:fill="FFFFFF"/>
        </w:rPr>
        <w:t>进行文化挖掘，编辑文化资料并印制发放。</w:t>
      </w:r>
      <w:r>
        <w:rPr>
          <w:rFonts w:hint="eastAsia" w:ascii="仿宋_GB2312" w:hAnsi="仿宋_GB2312" w:eastAsia="仿宋_GB2312" w:cs="仿宋_GB2312"/>
          <w:color w:val="222222"/>
          <w:sz w:val="28"/>
          <w:szCs w:val="28"/>
          <w:shd w:val="clear" w:color="auto" w:fill="FFFFFF"/>
          <w:lang w:val="en-US" w:eastAsia="zh-CN"/>
        </w:rPr>
        <w:t>4、</w:t>
      </w:r>
      <w:r>
        <w:rPr>
          <w:rFonts w:hint="eastAsia" w:ascii="仿宋_GB2312" w:hAnsi="仿宋_GB2312" w:eastAsia="仿宋_GB2312" w:cs="仿宋_GB2312"/>
          <w:color w:val="222222"/>
          <w:sz w:val="28"/>
          <w:szCs w:val="28"/>
          <w:shd w:val="clear" w:color="auto" w:fill="FFFFFF"/>
        </w:rPr>
        <w:t>举办各种活动，推介会，参加旅交会等，增加</w:t>
      </w:r>
      <w:r>
        <w:rPr>
          <w:rFonts w:hint="eastAsia" w:ascii="仿宋_GB2312" w:hAnsi="仿宋_GB2312" w:eastAsia="仿宋_GB2312" w:cs="仿宋_GB2312"/>
          <w:color w:val="222222"/>
          <w:sz w:val="28"/>
          <w:szCs w:val="28"/>
          <w:shd w:val="clear" w:color="auto" w:fill="FFFFFF"/>
          <w:lang w:eastAsia="zh-CN"/>
        </w:rPr>
        <w:t>我区</w:t>
      </w:r>
      <w:r>
        <w:rPr>
          <w:rFonts w:hint="eastAsia" w:ascii="仿宋_GB2312" w:hAnsi="仿宋_GB2312" w:eastAsia="仿宋_GB2312" w:cs="仿宋_GB2312"/>
          <w:color w:val="222222"/>
          <w:sz w:val="28"/>
          <w:szCs w:val="28"/>
          <w:shd w:val="clear" w:color="auto" w:fill="FFFFFF"/>
        </w:rPr>
        <w:t>知名度，扩大经济效益，树立我区旅游品牌新形象。</w:t>
      </w:r>
    </w:p>
    <w:p>
      <w:pPr>
        <w:ind w:firstLine="560"/>
        <w:rPr>
          <w:rFonts w:hint="eastAsia" w:ascii="黑体" w:hAnsi="黑体" w:eastAsia="黑体" w:cs="黑体"/>
          <w:sz w:val="28"/>
          <w:szCs w:val="28"/>
        </w:rPr>
      </w:pPr>
      <w:r>
        <w:rPr>
          <w:rFonts w:hint="eastAsia" w:ascii="黑体" w:hAnsi="黑体" w:eastAsia="黑体" w:cs="黑体"/>
          <w:sz w:val="28"/>
          <w:szCs w:val="28"/>
        </w:rPr>
        <w:t>六、政府采购预算情况</w:t>
      </w:r>
    </w:p>
    <w:p>
      <w:pPr>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本年度部门预算共计安排政府采购项目为</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个，涉及金额</w:t>
      </w:r>
      <w:r>
        <w:rPr>
          <w:rFonts w:hint="eastAsia" w:ascii="仿宋_GB2312" w:hAnsi="仿宋_GB2312" w:eastAsia="仿宋_GB2312" w:cs="仿宋_GB2312"/>
          <w:color w:val="000000"/>
          <w:sz w:val="28"/>
          <w:szCs w:val="28"/>
          <w:lang w:val="en-US" w:eastAsia="zh-CN"/>
        </w:rPr>
        <w:t>282.7</w:t>
      </w:r>
      <w:r>
        <w:rPr>
          <w:rFonts w:hint="eastAsia" w:ascii="仿宋_GB2312" w:hAnsi="仿宋_GB2312" w:eastAsia="仿宋_GB2312" w:cs="仿宋_GB2312"/>
          <w:color w:val="000000"/>
          <w:sz w:val="28"/>
          <w:szCs w:val="28"/>
        </w:rPr>
        <w:t>万元，其中，货物类</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个，涉及金额</w:t>
      </w:r>
      <w:r>
        <w:rPr>
          <w:rFonts w:hint="eastAsia" w:ascii="仿宋_GB2312" w:hAnsi="仿宋_GB2312" w:eastAsia="仿宋_GB2312" w:cs="仿宋_GB2312"/>
          <w:color w:val="000000"/>
          <w:sz w:val="28"/>
          <w:szCs w:val="28"/>
          <w:lang w:val="en-US" w:eastAsia="zh-CN"/>
        </w:rPr>
        <w:t>32.7</w:t>
      </w:r>
      <w:r>
        <w:rPr>
          <w:rFonts w:hint="eastAsia" w:ascii="仿宋_GB2312" w:hAnsi="仿宋_GB2312" w:eastAsia="仿宋_GB2312" w:cs="仿宋_GB2312"/>
          <w:color w:val="000000"/>
          <w:sz w:val="28"/>
          <w:szCs w:val="28"/>
        </w:rPr>
        <w:t>万元，主要是购办公用品、购办公设备</w:t>
      </w:r>
      <w:r>
        <w:rPr>
          <w:rFonts w:hint="eastAsia" w:ascii="仿宋_GB2312" w:hAnsi="仿宋_GB2312" w:eastAsia="仿宋_GB2312" w:cs="仿宋_GB2312"/>
          <w:color w:val="000000"/>
          <w:sz w:val="28"/>
          <w:szCs w:val="28"/>
          <w:lang w:eastAsia="zh-CN"/>
        </w:rPr>
        <w:t>、印刷宣传品</w:t>
      </w:r>
      <w:r>
        <w:rPr>
          <w:rFonts w:hint="eastAsia" w:ascii="仿宋_GB2312" w:hAnsi="仿宋_GB2312" w:eastAsia="仿宋_GB2312" w:cs="仿宋_GB2312"/>
          <w:color w:val="000000"/>
          <w:sz w:val="28"/>
          <w:szCs w:val="28"/>
        </w:rPr>
        <w:t>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服务类</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个，涉及金额</w:t>
      </w:r>
      <w:r>
        <w:rPr>
          <w:rFonts w:hint="eastAsia" w:ascii="仿宋_GB2312" w:hAnsi="仿宋_GB2312" w:eastAsia="仿宋_GB2312" w:cs="仿宋_GB2312"/>
          <w:color w:val="000000"/>
          <w:sz w:val="28"/>
          <w:szCs w:val="28"/>
          <w:lang w:val="en-US" w:eastAsia="zh-CN"/>
        </w:rPr>
        <w:t>250</w:t>
      </w:r>
      <w:r>
        <w:rPr>
          <w:rFonts w:hint="eastAsia" w:ascii="仿宋_GB2312" w:hAnsi="仿宋_GB2312" w:eastAsia="仿宋_GB2312" w:cs="仿宋_GB2312"/>
          <w:color w:val="000000"/>
          <w:sz w:val="28"/>
          <w:szCs w:val="28"/>
        </w:rPr>
        <w:t>万元，主要是</w:t>
      </w:r>
      <w:r>
        <w:rPr>
          <w:rFonts w:hint="eastAsia" w:ascii="仿宋_GB2312" w:hAnsi="仿宋_GB2312" w:eastAsia="仿宋_GB2312" w:cs="仿宋_GB2312"/>
          <w:color w:val="000000"/>
          <w:sz w:val="28"/>
          <w:szCs w:val="28"/>
          <w:lang w:eastAsia="zh-CN"/>
        </w:rPr>
        <w:t>规划设计费、旅游宣传广告、文创商品设计、游客预约系统</w:t>
      </w:r>
      <w:r>
        <w:rPr>
          <w:rFonts w:hint="eastAsia" w:ascii="仿宋_GB2312" w:hAnsi="仿宋_GB2312" w:eastAsia="仿宋_GB2312" w:cs="仿宋_GB2312"/>
          <w:color w:val="000000"/>
          <w:sz w:val="28"/>
          <w:szCs w:val="28"/>
        </w:rPr>
        <w:t>等。详见下表。</w:t>
      </w:r>
    </w:p>
    <w:p>
      <w:pPr>
        <w:rPr>
          <w:rFonts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tbl>
      <w:tblPr>
        <w:tblStyle w:val="29"/>
        <w:tblpPr w:leftFromText="180" w:rightFromText="180" w:vertAnchor="text" w:horzAnchor="page" w:tblpX="1524" w:tblpY="402"/>
        <w:tblOverlap w:val="neve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4"/>
        <w:gridCol w:w="1901"/>
        <w:gridCol w:w="2375"/>
        <w:gridCol w:w="1170"/>
        <w:gridCol w:w="4890"/>
        <w:gridCol w:w="92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rPr>
        <w:tc>
          <w:tcPr>
            <w:tcW w:w="13401" w:type="dxa"/>
            <w:gridSpan w:val="7"/>
            <w:shd w:val="clear" w:color="auto" w:fill="E4ECF7"/>
            <w:noWrap w:val="0"/>
            <w:vAlign w:val="center"/>
          </w:tcPr>
          <w:p>
            <w:pPr>
              <w:jc w:val="center"/>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lang w:val="en-US" w:eastAsia="zh-CN"/>
              </w:rPr>
              <w:t xml:space="preserve">文化广电和旅游局2023 </w:t>
            </w:r>
            <w:r>
              <w:rPr>
                <w:rFonts w:hint="eastAsia" w:ascii="仿宋_GB2312" w:hAnsi="仿宋_GB2312" w:eastAsia="仿宋_GB2312" w:cs="仿宋_GB2312"/>
                <w:color w:val="0000FF"/>
                <w:sz w:val="32"/>
                <w:szCs w:val="32"/>
              </w:rPr>
              <w:t>年政府采购预算情况表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rPr>
        <w:tc>
          <w:tcPr>
            <w:tcW w:w="1204"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部门名称</w:t>
            </w:r>
          </w:p>
        </w:tc>
        <w:tc>
          <w:tcPr>
            <w:tcW w:w="1901"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项目编码</w:t>
            </w:r>
          </w:p>
        </w:tc>
        <w:tc>
          <w:tcPr>
            <w:tcW w:w="2375"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项目名称</w:t>
            </w:r>
          </w:p>
        </w:tc>
        <w:tc>
          <w:tcPr>
            <w:tcW w:w="1170" w:type="dxa"/>
            <w:shd w:val="clear" w:color="auto" w:fill="E4ECF7"/>
            <w:noWrap w:val="0"/>
            <w:vAlign w:val="center"/>
          </w:tcPr>
          <w:p>
            <w:pPr>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预算安排数</w:t>
            </w:r>
          </w:p>
        </w:tc>
        <w:tc>
          <w:tcPr>
            <w:tcW w:w="4890"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项目采购支出内容</w:t>
            </w:r>
          </w:p>
        </w:tc>
        <w:tc>
          <w:tcPr>
            <w:tcW w:w="922"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采购类别</w:t>
            </w:r>
          </w:p>
        </w:tc>
        <w:tc>
          <w:tcPr>
            <w:tcW w:w="939" w:type="dxa"/>
            <w:shd w:val="clear" w:color="auto" w:fill="E4ECF7"/>
            <w:noWrap w:val="0"/>
            <w:vAlign w:val="center"/>
          </w:tcPr>
          <w:p>
            <w:pPr>
              <w:widowControl/>
              <w:jc w:val="center"/>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采购金额（万元）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1204" w:type="dxa"/>
            <w:noWrap w:val="0"/>
            <w:vAlign w:val="center"/>
          </w:tcPr>
          <w:p>
            <w:pPr>
              <w:widowControl/>
              <w:jc w:val="left"/>
              <w:rPr>
                <w:rFonts w:hint="eastAsia"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ascii="仿宋_GB2312" w:hAnsi="仿宋_GB2312" w:eastAsia="仿宋_GB2312" w:cs="仿宋_GB2312"/>
                <w:color w:val="0000FF"/>
                <w:szCs w:val="21"/>
                <w:lang w:val="en-US" w:eastAsia="zh-CN"/>
              </w:rPr>
            </w:pPr>
          </w:p>
        </w:tc>
        <w:tc>
          <w:tcPr>
            <w:tcW w:w="2375" w:type="dxa"/>
            <w:noWrap w:val="0"/>
            <w:vAlign w:val="center"/>
          </w:tcPr>
          <w:p>
            <w:pPr>
              <w:widowControl/>
              <w:jc w:val="center"/>
              <w:rPr>
                <w:rFonts w:hint="eastAsia"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旅发大会指示牌</w:t>
            </w:r>
          </w:p>
        </w:tc>
        <w:tc>
          <w:tcPr>
            <w:tcW w:w="1170" w:type="dxa"/>
            <w:noWrap w:val="0"/>
            <w:vAlign w:val="center"/>
          </w:tcPr>
          <w:p>
            <w:pPr>
              <w:jc w:val="center"/>
              <w:rPr>
                <w:rFonts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13.5</w:t>
            </w:r>
          </w:p>
        </w:tc>
        <w:tc>
          <w:tcPr>
            <w:tcW w:w="4890" w:type="dxa"/>
            <w:noWrap w:val="0"/>
            <w:vAlign w:val="center"/>
          </w:tcPr>
          <w:p>
            <w:pPr>
              <w:widowControl/>
              <w:jc w:val="left"/>
              <w:rPr>
                <w:rFonts w:hint="eastAsia" w:ascii="仿宋_GB2312" w:hAnsi="仿宋_GB2312" w:eastAsia="仿宋_GB2312" w:cs="仿宋_GB2312"/>
                <w:color w:val="0000FF"/>
                <w:sz w:val="21"/>
                <w:szCs w:val="21"/>
                <w:lang w:eastAsia="zh-CN"/>
              </w:rPr>
            </w:pPr>
            <w:r>
              <w:rPr>
                <w:rFonts w:hint="eastAsia" w:ascii="仿宋_GB2312" w:hAnsi="仿宋_GB2312" w:eastAsia="仿宋_GB2312" w:cs="仿宋_GB2312"/>
                <w:color w:val="0000FF"/>
                <w:szCs w:val="21"/>
                <w:lang w:val="en-US" w:eastAsia="zh-CN"/>
              </w:rPr>
              <w:t>用于旅发大会指示牌的购买及安装</w:t>
            </w:r>
          </w:p>
        </w:tc>
        <w:tc>
          <w:tcPr>
            <w:tcW w:w="922" w:type="dxa"/>
            <w:noWrap w:val="0"/>
            <w:vAlign w:val="center"/>
          </w:tcPr>
          <w:p>
            <w:pPr>
              <w:widowControl/>
              <w:jc w:val="left"/>
              <w:rPr>
                <w:rFonts w:hint="eastAsia" w:ascii="仿宋_GB2312" w:hAnsi="仿宋_GB2312" w:eastAsia="仿宋_GB2312" w:cs="仿宋_GB2312"/>
                <w:color w:val="0000FF"/>
                <w:szCs w:val="21"/>
                <w:lang w:eastAsia="zh-CN"/>
              </w:rPr>
            </w:pPr>
            <w:r>
              <w:rPr>
                <w:rFonts w:hint="eastAsia" w:ascii="仿宋_GB2312" w:hAnsi="仿宋_GB2312" w:eastAsia="仿宋_GB2312" w:cs="仿宋_GB2312"/>
                <w:color w:val="0000FF"/>
                <w:szCs w:val="21"/>
                <w:lang w:eastAsia="zh-CN"/>
              </w:rPr>
              <w:t>货物</w:t>
            </w:r>
          </w:p>
        </w:tc>
        <w:tc>
          <w:tcPr>
            <w:tcW w:w="939" w:type="dxa"/>
            <w:noWrap w:val="0"/>
            <w:vAlign w:val="center"/>
          </w:tcPr>
          <w:p>
            <w:pPr>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8" w:hRule="atLeast"/>
        </w:trPr>
        <w:tc>
          <w:tcPr>
            <w:tcW w:w="1204" w:type="dxa"/>
            <w:noWrap w:val="0"/>
            <w:vAlign w:val="center"/>
          </w:tcPr>
          <w:p>
            <w:pPr>
              <w:widowControl/>
              <w:jc w:val="left"/>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rPr>
                <w:rFonts w:ascii="仿宋_GB2312" w:hAnsi="仿宋_GB2312" w:eastAsia="仿宋_GB2312" w:cs="仿宋_GB2312"/>
                <w:color w:val="0000FF"/>
                <w:szCs w:val="21"/>
              </w:rPr>
            </w:pPr>
          </w:p>
          <w:p>
            <w:pPr>
              <w:rPr>
                <w:rFonts w:ascii="仿宋_GB2312" w:hAnsi="仿宋_GB2312" w:eastAsia="仿宋_GB2312" w:cs="仿宋_GB2312"/>
                <w:color w:val="0000FF"/>
                <w:szCs w:val="21"/>
                <w:lang w:val="en-US" w:eastAsia="zh-CN"/>
              </w:rPr>
            </w:pPr>
          </w:p>
        </w:tc>
        <w:tc>
          <w:tcPr>
            <w:tcW w:w="2375" w:type="dxa"/>
            <w:noWrap w:val="0"/>
            <w:vAlign w:val="center"/>
          </w:tcPr>
          <w:p>
            <w:pPr>
              <w:widowControl/>
              <w:jc w:val="center"/>
              <w:rPr>
                <w:rFonts w:hint="eastAsia" w:ascii="仿宋_GB2312" w:hAnsi="仿宋_GB2312" w:eastAsia="仿宋_GB2312" w:cs="仿宋_GB2312"/>
                <w:color w:val="0000FF"/>
                <w:szCs w:val="21"/>
                <w:lang w:eastAsia="zh-CN"/>
              </w:rPr>
            </w:pPr>
            <w:r>
              <w:rPr>
                <w:rFonts w:hint="eastAsia" w:ascii="仿宋_GB2312" w:hAnsi="仿宋_GB2312" w:eastAsia="仿宋_GB2312" w:cs="仿宋_GB2312"/>
                <w:color w:val="0000FF"/>
                <w:szCs w:val="21"/>
                <w:lang w:val="en-US" w:eastAsia="zh-CN"/>
              </w:rPr>
              <w:t>设备购置费</w:t>
            </w:r>
          </w:p>
        </w:tc>
        <w:tc>
          <w:tcPr>
            <w:tcW w:w="1170" w:type="dxa"/>
            <w:noWrap w:val="0"/>
            <w:vAlign w:val="center"/>
          </w:tcPr>
          <w:p>
            <w:pPr>
              <w:jc w:val="center"/>
              <w:rPr>
                <w:rFonts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4.2</w:t>
            </w:r>
          </w:p>
        </w:tc>
        <w:tc>
          <w:tcPr>
            <w:tcW w:w="4890" w:type="dxa"/>
            <w:noWrap w:val="0"/>
            <w:vAlign w:val="center"/>
          </w:tcPr>
          <w:p>
            <w:pPr>
              <w:rPr>
                <w:rFonts w:hint="eastAsia" w:eastAsia="宋体"/>
                <w:color w:val="0000FF"/>
                <w:lang w:val="en-US" w:eastAsia="zh-CN"/>
              </w:rPr>
            </w:pPr>
            <w:r>
              <w:rPr>
                <w:rFonts w:hint="eastAsia" w:ascii="仿宋_GB2312" w:hAnsi="仿宋_GB2312" w:eastAsia="仿宋_GB2312" w:cs="仿宋_GB2312"/>
                <w:color w:val="0000FF"/>
                <w:szCs w:val="21"/>
                <w:lang w:val="en-US" w:eastAsia="zh-CN"/>
              </w:rPr>
              <w:t>购买笔记本电脑、办公桌椅、多功能一体机等</w:t>
            </w:r>
          </w:p>
        </w:tc>
        <w:tc>
          <w:tcPr>
            <w:tcW w:w="922" w:type="dxa"/>
            <w:noWrap w:val="0"/>
            <w:vAlign w:val="center"/>
          </w:tcPr>
          <w:p>
            <w:pPr>
              <w:widowControl/>
              <w:jc w:val="left"/>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lang w:bidi="ar"/>
              </w:rPr>
              <w:t>货物</w:t>
            </w:r>
          </w:p>
        </w:tc>
        <w:tc>
          <w:tcPr>
            <w:tcW w:w="939" w:type="dxa"/>
            <w:noWrap w:val="0"/>
            <w:vAlign w:val="center"/>
          </w:tcPr>
          <w:p>
            <w:pPr>
              <w:tabs>
                <w:tab w:val="left" w:pos="458"/>
              </w:tabs>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4" w:hRule="atLeast"/>
        </w:trPr>
        <w:tc>
          <w:tcPr>
            <w:tcW w:w="1204" w:type="dxa"/>
            <w:noWrap w:val="0"/>
            <w:vAlign w:val="center"/>
          </w:tcPr>
          <w:p>
            <w:pPr>
              <w:widowControl/>
              <w:jc w:val="left"/>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ascii="仿宋_GB2312" w:hAnsi="仿宋_GB2312" w:eastAsia="仿宋_GB2312" w:cs="仿宋_GB2312"/>
                <w:color w:val="0000FF"/>
                <w:szCs w:val="21"/>
                <w:lang w:val="en-US" w:eastAsia="zh-CN" w:bidi="ar"/>
              </w:rPr>
            </w:pPr>
          </w:p>
        </w:tc>
        <w:tc>
          <w:tcPr>
            <w:tcW w:w="2375" w:type="dxa"/>
            <w:noWrap w:val="0"/>
            <w:vAlign w:val="center"/>
          </w:tcPr>
          <w:p>
            <w:pPr>
              <w:widowControl/>
              <w:jc w:val="center"/>
              <w:rPr>
                <w:rFonts w:ascii="仿宋_GB2312" w:hAnsi="仿宋_GB2312" w:eastAsia="仿宋_GB2312" w:cs="仿宋_GB2312"/>
                <w:color w:val="0000FF"/>
                <w:sz w:val="21"/>
                <w:szCs w:val="21"/>
                <w:lang w:val="en-US" w:eastAsia="zh-CN" w:bidi="ar"/>
              </w:rPr>
            </w:pPr>
            <w:r>
              <w:rPr>
                <w:rFonts w:hint="eastAsia" w:ascii="仿宋_GB2312" w:hAnsi="仿宋_GB2312" w:eastAsia="仿宋_GB2312" w:cs="仿宋_GB2312"/>
                <w:color w:val="0000FF"/>
                <w:szCs w:val="21"/>
                <w:lang w:val="en-US" w:eastAsia="zh-CN" w:bidi="ar"/>
              </w:rPr>
              <w:t>印刷费</w:t>
            </w:r>
          </w:p>
        </w:tc>
        <w:tc>
          <w:tcPr>
            <w:tcW w:w="1170" w:type="dxa"/>
            <w:noWrap w:val="0"/>
            <w:vAlign w:val="center"/>
          </w:tcPr>
          <w:p>
            <w:pPr>
              <w:jc w:val="center"/>
              <w:rPr>
                <w:rFonts w:ascii="仿宋_GB2312" w:hAnsi="仿宋_GB2312" w:eastAsia="仿宋_GB2312" w:cs="仿宋_GB2312"/>
                <w:color w:val="0000FF"/>
                <w:sz w:val="21"/>
                <w:szCs w:val="21"/>
                <w:lang w:val="en-US" w:eastAsia="zh-CN" w:bidi="ar-SA"/>
              </w:rPr>
            </w:pPr>
            <w:r>
              <w:rPr>
                <w:rFonts w:hint="eastAsia" w:ascii="仿宋_GB2312" w:hAnsi="仿宋_GB2312" w:eastAsia="仿宋_GB2312" w:cs="仿宋_GB2312"/>
                <w:color w:val="0000FF"/>
                <w:szCs w:val="21"/>
                <w:lang w:val="en-US" w:eastAsia="zh-CN"/>
              </w:rPr>
              <w:t>15</w:t>
            </w:r>
          </w:p>
        </w:tc>
        <w:tc>
          <w:tcPr>
            <w:tcW w:w="4890" w:type="dxa"/>
            <w:noWrap w:val="0"/>
            <w:vAlign w:val="center"/>
          </w:tcPr>
          <w:p>
            <w:pPr>
              <w:widowControl/>
              <w:jc w:val="left"/>
              <w:rPr>
                <w:rFonts w:hint="eastAsia" w:ascii="仿宋_GB2312" w:hAnsi="仿宋_GB2312" w:eastAsia="仿宋_GB2312" w:cs="仿宋_GB2312"/>
                <w:color w:val="0000FF"/>
                <w:sz w:val="21"/>
                <w:szCs w:val="21"/>
                <w:lang w:val="en-US" w:eastAsia="zh-CN" w:bidi="ar-SA"/>
              </w:rPr>
            </w:pPr>
            <w:r>
              <w:rPr>
                <w:rFonts w:hint="eastAsia" w:ascii="仿宋_GB2312" w:hAnsi="仿宋_GB2312" w:eastAsia="仿宋_GB2312" w:cs="仿宋_GB2312"/>
                <w:color w:val="0000FF"/>
                <w:szCs w:val="21"/>
                <w:lang w:val="en-US" w:eastAsia="zh-CN"/>
              </w:rPr>
              <w:t>印刷旅游指南，旅游宣传册，纸质手提袋，安全宣传，印制宣传牌、指示牌、警示牌等</w:t>
            </w:r>
          </w:p>
        </w:tc>
        <w:tc>
          <w:tcPr>
            <w:tcW w:w="922" w:type="dxa"/>
            <w:noWrap w:val="0"/>
            <w:vAlign w:val="center"/>
          </w:tcPr>
          <w:p>
            <w:pPr>
              <w:widowControl/>
              <w:jc w:val="left"/>
              <w:rPr>
                <w:rFonts w:hint="eastAsia" w:ascii="仿宋_GB2312" w:hAnsi="仿宋_GB2312" w:eastAsia="仿宋_GB2312" w:cs="仿宋_GB2312"/>
                <w:color w:val="0000FF"/>
                <w:szCs w:val="21"/>
                <w:lang w:bidi="ar"/>
              </w:rPr>
            </w:pPr>
            <w:r>
              <w:rPr>
                <w:rFonts w:hint="eastAsia" w:ascii="仿宋_GB2312" w:hAnsi="仿宋_GB2312" w:eastAsia="仿宋_GB2312" w:cs="仿宋_GB2312"/>
                <w:color w:val="0000FF"/>
                <w:szCs w:val="21"/>
                <w:lang w:bidi="ar"/>
              </w:rPr>
              <w:t>货物</w:t>
            </w:r>
          </w:p>
        </w:tc>
        <w:tc>
          <w:tcPr>
            <w:tcW w:w="939" w:type="dxa"/>
            <w:noWrap w:val="0"/>
            <w:vAlign w:val="center"/>
          </w:tcPr>
          <w:p>
            <w:pPr>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rPr>
        <w:tc>
          <w:tcPr>
            <w:tcW w:w="1204" w:type="dxa"/>
            <w:noWrap w:val="0"/>
            <w:vAlign w:val="center"/>
          </w:tcPr>
          <w:p>
            <w:pPr>
              <w:widowControl/>
              <w:jc w:val="left"/>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ascii="仿宋_GB2312" w:hAnsi="仿宋_GB2312" w:eastAsia="仿宋_GB2312" w:cs="仿宋_GB2312"/>
                <w:color w:val="0000FF"/>
                <w:szCs w:val="21"/>
                <w:lang w:val="en-US" w:eastAsia="zh-CN" w:bidi="ar"/>
              </w:rPr>
            </w:pPr>
          </w:p>
        </w:tc>
        <w:tc>
          <w:tcPr>
            <w:tcW w:w="2375" w:type="dxa"/>
            <w:noWrap w:val="0"/>
            <w:vAlign w:val="center"/>
          </w:tcPr>
          <w:p>
            <w:pPr>
              <w:widowControl/>
              <w:jc w:val="center"/>
              <w:rPr>
                <w:rFonts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旅游宣传费</w:t>
            </w:r>
          </w:p>
        </w:tc>
        <w:tc>
          <w:tcPr>
            <w:tcW w:w="1170" w:type="dxa"/>
            <w:noWrap w:val="0"/>
            <w:vAlign w:val="center"/>
          </w:tcPr>
          <w:p>
            <w:pPr>
              <w:jc w:val="center"/>
              <w:rPr>
                <w:rFonts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130</w:t>
            </w:r>
          </w:p>
        </w:tc>
        <w:tc>
          <w:tcPr>
            <w:tcW w:w="4890" w:type="dxa"/>
            <w:noWrap w:val="0"/>
            <w:vAlign w:val="center"/>
          </w:tcPr>
          <w:p>
            <w:pPr>
              <w:widowControl/>
              <w:jc w:val="left"/>
              <w:rPr>
                <w:rFonts w:ascii="仿宋_GB2312" w:hAnsi="仿宋_GB2312" w:eastAsia="仿宋_GB2312" w:cs="仿宋_GB2312"/>
                <w:color w:val="0000FF"/>
                <w:szCs w:val="21"/>
                <w:lang w:val="en-US"/>
              </w:rPr>
            </w:pPr>
            <w:r>
              <w:rPr>
                <w:rFonts w:hint="eastAsia" w:ascii="仿宋_GB2312" w:hAnsi="仿宋_GB2312" w:eastAsia="仿宋_GB2312" w:cs="仿宋_GB2312"/>
                <w:color w:val="0000FF"/>
                <w:szCs w:val="21"/>
                <w:lang w:val="en-US" w:eastAsia="zh-CN"/>
              </w:rPr>
              <w:t>与北京社区广告，唐山社区广告、车体广告等宣传合作。</w:t>
            </w:r>
          </w:p>
        </w:tc>
        <w:tc>
          <w:tcPr>
            <w:tcW w:w="922" w:type="dxa"/>
            <w:noWrap w:val="0"/>
            <w:vAlign w:val="center"/>
          </w:tcPr>
          <w:p>
            <w:pPr>
              <w:widowControl/>
              <w:jc w:val="left"/>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服务</w:t>
            </w:r>
          </w:p>
        </w:tc>
        <w:tc>
          <w:tcPr>
            <w:tcW w:w="939" w:type="dxa"/>
            <w:noWrap w:val="0"/>
            <w:vAlign w:val="center"/>
          </w:tcPr>
          <w:p>
            <w:pPr>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rPr>
        <w:tc>
          <w:tcPr>
            <w:tcW w:w="1204" w:type="dxa"/>
            <w:noWrap w:val="0"/>
            <w:vAlign w:val="center"/>
          </w:tcPr>
          <w:p>
            <w:pPr>
              <w:widowControl/>
              <w:jc w:val="left"/>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hint="eastAsia" w:ascii="仿宋_GB2312" w:hAnsi="仿宋_GB2312" w:eastAsia="仿宋_GB2312" w:cs="仿宋_GB2312"/>
                <w:color w:val="0000FF"/>
                <w:szCs w:val="21"/>
              </w:rPr>
            </w:pPr>
          </w:p>
        </w:tc>
        <w:tc>
          <w:tcPr>
            <w:tcW w:w="2375" w:type="dxa"/>
            <w:noWrap w:val="0"/>
            <w:vAlign w:val="center"/>
          </w:tcPr>
          <w:p>
            <w:pPr>
              <w:widowControl/>
              <w:jc w:val="center"/>
              <w:rPr>
                <w:rFonts w:hint="eastAsia" w:ascii="仿宋_GB2312" w:hAnsi="仿宋_GB2312" w:eastAsia="仿宋_GB2312" w:cs="仿宋_GB2312"/>
                <w:color w:val="0000FF"/>
                <w:sz w:val="21"/>
                <w:szCs w:val="21"/>
                <w:lang w:val="en-US" w:eastAsia="zh-CN" w:bidi="ar"/>
              </w:rPr>
            </w:pPr>
            <w:r>
              <w:rPr>
                <w:rFonts w:hint="eastAsia" w:ascii="仿宋_GB2312" w:hAnsi="仿宋_GB2312" w:eastAsia="仿宋_GB2312" w:cs="仿宋_GB2312"/>
                <w:color w:val="0000FF"/>
                <w:szCs w:val="21"/>
                <w:lang w:val="en-US" w:eastAsia="zh-CN" w:bidi="ar"/>
              </w:rPr>
              <w:t>规划设计费</w:t>
            </w:r>
          </w:p>
        </w:tc>
        <w:tc>
          <w:tcPr>
            <w:tcW w:w="1170" w:type="dxa"/>
            <w:noWrap w:val="0"/>
            <w:vAlign w:val="center"/>
          </w:tcPr>
          <w:p>
            <w:pPr>
              <w:jc w:val="center"/>
              <w:rPr>
                <w:rFonts w:ascii="仿宋_GB2312" w:hAnsi="仿宋_GB2312" w:eastAsia="仿宋_GB2312" w:cs="仿宋_GB2312"/>
                <w:color w:val="0000FF"/>
                <w:sz w:val="21"/>
                <w:szCs w:val="21"/>
                <w:lang w:val="en-US" w:eastAsia="zh-CN" w:bidi="ar-SA"/>
              </w:rPr>
            </w:pPr>
            <w:r>
              <w:rPr>
                <w:rFonts w:hint="eastAsia" w:ascii="仿宋_GB2312" w:hAnsi="仿宋_GB2312" w:eastAsia="仿宋_GB2312" w:cs="仿宋_GB2312"/>
                <w:color w:val="0000FF"/>
                <w:szCs w:val="21"/>
                <w:lang w:val="en-US" w:eastAsia="zh-CN"/>
              </w:rPr>
              <w:t>100</w:t>
            </w:r>
          </w:p>
        </w:tc>
        <w:tc>
          <w:tcPr>
            <w:tcW w:w="4890" w:type="dxa"/>
            <w:noWrap w:val="0"/>
            <w:vAlign w:val="center"/>
          </w:tcPr>
          <w:p>
            <w:pPr>
              <w:widowControl/>
              <w:jc w:val="left"/>
              <w:rPr>
                <w:rFonts w:hint="eastAsia" w:ascii="仿宋_GB2312" w:hAnsi="仿宋_GB2312" w:eastAsia="仿宋_GB2312" w:cs="仿宋_GB2312"/>
                <w:color w:val="0000FF"/>
                <w:sz w:val="21"/>
                <w:szCs w:val="21"/>
                <w:lang w:val="en-US" w:eastAsia="zh-CN" w:bidi="ar-SA"/>
              </w:rPr>
            </w:pPr>
            <w:r>
              <w:rPr>
                <w:rFonts w:hint="eastAsia" w:ascii="仿宋_GB2312" w:hAnsi="仿宋_GB2312" w:eastAsia="仿宋_GB2312" w:cs="仿宋_GB2312"/>
                <w:color w:val="0000FF"/>
                <w:szCs w:val="21"/>
                <w:lang w:val="en-US" w:eastAsia="zh-CN"/>
              </w:rPr>
              <w:t>各种活动会议的旅游展架，重大活动所需用品、宣传条幅等。</w:t>
            </w:r>
          </w:p>
        </w:tc>
        <w:tc>
          <w:tcPr>
            <w:tcW w:w="922" w:type="dxa"/>
            <w:noWrap w:val="0"/>
            <w:vAlign w:val="center"/>
          </w:tcPr>
          <w:p>
            <w:pPr>
              <w:widowControl/>
              <w:jc w:val="left"/>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服务</w:t>
            </w:r>
          </w:p>
        </w:tc>
        <w:tc>
          <w:tcPr>
            <w:tcW w:w="939" w:type="dxa"/>
            <w:noWrap w:val="0"/>
            <w:vAlign w:val="center"/>
          </w:tcPr>
          <w:p>
            <w:pPr>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rPr>
        <w:tc>
          <w:tcPr>
            <w:tcW w:w="1204" w:type="dxa"/>
            <w:noWrap w:val="0"/>
            <w:vAlign w:val="center"/>
          </w:tcPr>
          <w:p>
            <w:pPr>
              <w:widowControl/>
              <w:jc w:val="left"/>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hint="eastAsia" w:ascii="仿宋_GB2312" w:hAnsi="仿宋_GB2312" w:eastAsia="仿宋_GB2312" w:cs="仿宋_GB2312"/>
                <w:color w:val="0000FF"/>
                <w:szCs w:val="21"/>
              </w:rPr>
            </w:pPr>
          </w:p>
        </w:tc>
        <w:tc>
          <w:tcPr>
            <w:tcW w:w="2375" w:type="dxa"/>
            <w:noWrap w:val="0"/>
            <w:vAlign w:val="center"/>
          </w:tcPr>
          <w:p>
            <w:pPr>
              <w:widowControl/>
              <w:jc w:val="center"/>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文创商品设计费</w:t>
            </w:r>
          </w:p>
        </w:tc>
        <w:tc>
          <w:tcPr>
            <w:tcW w:w="1170" w:type="dxa"/>
            <w:noWrap w:val="0"/>
            <w:vAlign w:val="center"/>
          </w:tcPr>
          <w:p>
            <w:pPr>
              <w:jc w:val="center"/>
              <w:rPr>
                <w:rFonts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10</w:t>
            </w:r>
          </w:p>
        </w:tc>
        <w:tc>
          <w:tcPr>
            <w:tcW w:w="4890" w:type="dxa"/>
            <w:noWrap w:val="0"/>
            <w:vAlign w:val="center"/>
          </w:tcPr>
          <w:p>
            <w:pPr>
              <w:widowControl/>
              <w:jc w:val="left"/>
              <w:rPr>
                <w:rFonts w:hint="eastAsia" w:ascii="仿宋" w:hAnsi="仿宋" w:eastAsia="仿宋" w:cs="仿宋"/>
                <w:color w:val="0000FF"/>
                <w:sz w:val="21"/>
                <w:szCs w:val="21"/>
                <w:vertAlign w:val="baseline"/>
                <w:lang w:val="en-US" w:eastAsia="zh-CN"/>
              </w:rPr>
            </w:pPr>
            <w:r>
              <w:rPr>
                <w:rFonts w:hint="eastAsia" w:ascii="仿宋_GB2312" w:hAnsi="仿宋_GB2312" w:eastAsia="仿宋_GB2312" w:cs="仿宋_GB2312"/>
                <w:color w:val="0000FF"/>
                <w:szCs w:val="21"/>
                <w:lang w:val="en-US" w:eastAsia="zh-CN"/>
              </w:rPr>
              <w:t>用于开发我区文创商品</w:t>
            </w:r>
          </w:p>
        </w:tc>
        <w:tc>
          <w:tcPr>
            <w:tcW w:w="922" w:type="dxa"/>
            <w:noWrap w:val="0"/>
            <w:vAlign w:val="center"/>
          </w:tcPr>
          <w:p>
            <w:pPr>
              <w:widowControl/>
              <w:jc w:val="left"/>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服务</w:t>
            </w:r>
          </w:p>
        </w:tc>
        <w:tc>
          <w:tcPr>
            <w:tcW w:w="939" w:type="dxa"/>
            <w:noWrap w:val="0"/>
            <w:vAlign w:val="center"/>
          </w:tcPr>
          <w:p>
            <w:pPr>
              <w:rPr>
                <w:rFonts w:hint="eastAsia" w:ascii="仿宋_GB2312" w:hAnsi="仿宋_GB2312" w:eastAsia="仿宋_GB2312" w:cs="仿宋_GB2312"/>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rPr>
        <w:tc>
          <w:tcPr>
            <w:tcW w:w="1204" w:type="dxa"/>
            <w:noWrap w:val="0"/>
            <w:vAlign w:val="center"/>
          </w:tcPr>
          <w:p>
            <w:pPr>
              <w:widowControl/>
              <w:jc w:val="left"/>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文化广电和旅游局</w:t>
            </w:r>
          </w:p>
        </w:tc>
        <w:tc>
          <w:tcPr>
            <w:tcW w:w="1901" w:type="dxa"/>
            <w:noWrap w:val="0"/>
            <w:vAlign w:val="center"/>
          </w:tcPr>
          <w:p>
            <w:pPr>
              <w:widowControl/>
              <w:jc w:val="left"/>
              <w:rPr>
                <w:rFonts w:hint="eastAsia" w:ascii="仿宋_GB2312" w:hAnsi="仿宋_GB2312" w:eastAsia="仿宋_GB2312" w:cs="仿宋_GB2312"/>
                <w:color w:val="0000FF"/>
                <w:szCs w:val="21"/>
              </w:rPr>
            </w:pPr>
          </w:p>
        </w:tc>
        <w:tc>
          <w:tcPr>
            <w:tcW w:w="2375" w:type="dxa"/>
            <w:noWrap w:val="0"/>
            <w:vAlign w:val="center"/>
          </w:tcPr>
          <w:p>
            <w:pPr>
              <w:widowControl/>
              <w:jc w:val="center"/>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游客预约系统</w:t>
            </w:r>
          </w:p>
        </w:tc>
        <w:tc>
          <w:tcPr>
            <w:tcW w:w="1170" w:type="dxa"/>
            <w:noWrap w:val="0"/>
            <w:vAlign w:val="center"/>
          </w:tcPr>
          <w:p>
            <w:pPr>
              <w:jc w:val="center"/>
              <w:rPr>
                <w:rFonts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10</w:t>
            </w:r>
          </w:p>
        </w:tc>
        <w:tc>
          <w:tcPr>
            <w:tcW w:w="4890" w:type="dxa"/>
            <w:noWrap w:val="0"/>
            <w:vAlign w:val="center"/>
          </w:tcPr>
          <w:p>
            <w:pPr>
              <w:widowControl/>
              <w:jc w:val="left"/>
              <w:rPr>
                <w:rFonts w:hint="eastAsia" w:ascii="仿宋_GB2312" w:hAnsi="仿宋_GB2312" w:eastAsia="仿宋_GB2312" w:cs="仿宋_GB2312"/>
                <w:color w:val="0000FF"/>
                <w:szCs w:val="21"/>
                <w:lang w:val="en-US" w:eastAsia="zh-CN"/>
              </w:rPr>
            </w:pPr>
            <w:r>
              <w:rPr>
                <w:rFonts w:hint="eastAsia" w:ascii="仿宋_GB2312" w:hAnsi="仿宋_GB2312" w:eastAsia="仿宋_GB2312" w:cs="仿宋_GB2312"/>
                <w:color w:val="0000FF"/>
                <w:szCs w:val="21"/>
                <w:lang w:val="en-US" w:eastAsia="zh-CN"/>
              </w:rPr>
              <w:t>用于开发游客预约系统</w:t>
            </w:r>
          </w:p>
        </w:tc>
        <w:tc>
          <w:tcPr>
            <w:tcW w:w="922" w:type="dxa"/>
            <w:noWrap w:val="0"/>
            <w:vAlign w:val="center"/>
          </w:tcPr>
          <w:p>
            <w:pPr>
              <w:widowControl/>
              <w:jc w:val="left"/>
              <w:rPr>
                <w:rFonts w:hint="eastAsia" w:ascii="仿宋_GB2312" w:hAnsi="仿宋_GB2312" w:eastAsia="仿宋_GB2312" w:cs="仿宋_GB2312"/>
                <w:color w:val="0000FF"/>
                <w:szCs w:val="21"/>
                <w:lang w:val="en-US" w:eastAsia="zh-CN" w:bidi="ar"/>
              </w:rPr>
            </w:pPr>
            <w:r>
              <w:rPr>
                <w:rFonts w:hint="eastAsia" w:ascii="仿宋_GB2312" w:hAnsi="仿宋_GB2312" w:eastAsia="仿宋_GB2312" w:cs="仿宋_GB2312"/>
                <w:color w:val="0000FF"/>
                <w:szCs w:val="21"/>
                <w:lang w:val="en-US" w:eastAsia="zh-CN" w:bidi="ar"/>
              </w:rPr>
              <w:t>服务</w:t>
            </w:r>
          </w:p>
        </w:tc>
        <w:tc>
          <w:tcPr>
            <w:tcW w:w="939" w:type="dxa"/>
            <w:noWrap w:val="0"/>
            <w:vAlign w:val="center"/>
          </w:tcPr>
          <w:p>
            <w:pPr>
              <w:rPr>
                <w:rFonts w:hint="eastAsia" w:ascii="仿宋_GB2312" w:hAnsi="仿宋_GB2312" w:eastAsia="仿宋_GB2312" w:cs="仿宋_GB2312"/>
                <w:color w:val="0000FF"/>
                <w:szCs w:val="21"/>
              </w:rPr>
            </w:pPr>
          </w:p>
        </w:tc>
      </w:tr>
    </w:tbl>
    <w:p>
      <w:pPr>
        <w:ind w:firstLine="560"/>
        <w:rPr>
          <w:rFonts w:hint="eastAsia" w:ascii="黑体" w:hAnsi="黑体" w:eastAsia="黑体" w:cs="黑体"/>
          <w:sz w:val="28"/>
          <w:szCs w:val="28"/>
        </w:rPr>
      </w:pPr>
      <w:r>
        <w:rPr>
          <w:rFonts w:hint="eastAsia" w:ascii="黑体" w:hAnsi="黑体" w:eastAsia="黑体" w:cs="黑体"/>
          <w:sz w:val="28"/>
          <w:szCs w:val="28"/>
        </w:rPr>
        <w:t>七、国有资产信息情况</w:t>
      </w:r>
    </w:p>
    <w:p>
      <w:pPr>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我部门上年末占有国有固定资产</w:t>
      </w:r>
      <w:r>
        <w:rPr>
          <w:rFonts w:hint="eastAsia" w:ascii="仿宋_GB2312" w:hAnsi="仿宋_GB2312" w:eastAsia="仿宋_GB2312" w:cs="仿宋_GB2312"/>
          <w:color w:val="000000"/>
          <w:sz w:val="28"/>
          <w:szCs w:val="28"/>
          <w:lang w:val="en-US" w:eastAsia="zh-CN"/>
        </w:rPr>
        <w:t>原值14.87万元</w:t>
      </w:r>
      <w:r>
        <w:rPr>
          <w:rFonts w:hint="eastAsia" w:ascii="仿宋_GB2312" w:hAnsi="仿宋_GB2312" w:eastAsia="仿宋_GB2312" w:cs="仿宋_GB2312"/>
          <w:color w:val="000000"/>
          <w:sz w:val="28"/>
          <w:szCs w:val="28"/>
        </w:rPr>
        <w:t>，</w:t>
      </w:r>
      <w:r>
        <w:rPr>
          <w:rFonts w:hint="eastAsia" w:ascii="仿宋_GB2312" w:hAnsi="宋体" w:eastAsia="仿宋_GB2312" w:cs="宋体"/>
          <w:color w:val="222222"/>
          <w:sz w:val="28"/>
          <w:szCs w:val="28"/>
          <w:shd w:val="clear" w:color="auto" w:fill="FFFFFF"/>
        </w:rPr>
        <w:t>本年度拟购置固定资产通用设备</w:t>
      </w:r>
      <w:r>
        <w:rPr>
          <w:rFonts w:hint="eastAsia" w:ascii="仿宋_GB2312" w:hAnsi="宋体" w:eastAsia="仿宋_GB2312" w:cs="宋体"/>
          <w:color w:val="222222"/>
          <w:sz w:val="28"/>
          <w:szCs w:val="28"/>
          <w:shd w:val="clear" w:color="auto" w:fill="FFFFFF"/>
          <w:lang w:val="en-US" w:eastAsia="zh-CN"/>
        </w:rPr>
        <w:t>3.7万元</w:t>
      </w:r>
      <w:r>
        <w:rPr>
          <w:rFonts w:hint="eastAsia" w:ascii="仿宋_GB2312" w:hAnsi="宋体" w:eastAsia="仿宋_GB2312" w:cs="宋体"/>
          <w:color w:val="222222"/>
          <w:sz w:val="28"/>
          <w:szCs w:val="28"/>
          <w:shd w:val="clear" w:color="auto" w:fill="FFFFFF"/>
        </w:rPr>
        <w:t>，已列入政府采购预算</w:t>
      </w:r>
      <w:r>
        <w:rPr>
          <w:rFonts w:hint="eastAsia" w:ascii="仿宋_GB2312" w:hAnsi="仿宋_GB2312" w:eastAsia="仿宋_GB2312" w:cs="仿宋_GB2312"/>
          <w:color w:val="000000"/>
          <w:sz w:val="28"/>
          <w:szCs w:val="28"/>
        </w:rPr>
        <w:t>。</w:t>
      </w:r>
    </w:p>
    <w:p>
      <w:pPr>
        <w:ind w:firstLine="560"/>
        <w:rPr>
          <w:rFonts w:hint="eastAsia" w:ascii="仿宋_GB2312" w:hAnsi="仿宋_GB2312" w:eastAsia="仿宋_GB2312" w:cs="仿宋_GB2312"/>
          <w:color w:val="000000"/>
          <w:sz w:val="28"/>
          <w:szCs w:val="28"/>
        </w:rPr>
      </w:pPr>
    </w:p>
    <w:tbl>
      <w:tblPr>
        <w:tblStyle w:val="29"/>
        <w:tblW w:w="0" w:type="auto"/>
        <w:tblInd w:w="-108" w:type="dxa"/>
        <w:tblLayout w:type="fixed"/>
        <w:tblCellMar>
          <w:top w:w="0" w:type="dxa"/>
          <w:left w:w="108" w:type="dxa"/>
          <w:bottom w:w="0" w:type="dxa"/>
          <w:right w:w="108" w:type="dxa"/>
        </w:tblCellMar>
      </w:tblPr>
      <w:tblGrid>
        <w:gridCol w:w="9901"/>
        <w:gridCol w:w="1364"/>
        <w:gridCol w:w="2909"/>
      </w:tblGrid>
      <w:tr>
        <w:tblPrEx>
          <w:tblCellMar>
            <w:top w:w="0" w:type="dxa"/>
            <w:left w:w="108" w:type="dxa"/>
            <w:bottom w:w="0" w:type="dxa"/>
            <w:right w:w="108" w:type="dxa"/>
          </w:tblCellMar>
        </w:tblPrEx>
        <w:trPr>
          <w:trHeight w:val="451" w:hRule="atLeast"/>
        </w:trPr>
        <w:tc>
          <w:tcPr>
            <w:tcW w:w="14174" w:type="dxa"/>
            <w:gridSpan w:val="3"/>
            <w:tcBorders>
              <w:top w:val="nil"/>
              <w:left w:val="nil"/>
              <w:bottom w:val="nil"/>
              <w:right w:val="nil"/>
            </w:tcBorders>
            <w:noWrap/>
            <w:vAlign w:val="center"/>
          </w:tcPr>
          <w:p>
            <w:pPr>
              <w:widowControl/>
              <w:jc w:val="center"/>
              <w:rPr>
                <w:rFonts w:ascii="仿宋" w:hAnsi="仿宋" w:eastAsia="仿宋" w:cs="宋体"/>
                <w:b/>
                <w:bCs/>
                <w:color w:val="000000"/>
                <w:sz w:val="28"/>
                <w:szCs w:val="28"/>
              </w:rPr>
            </w:pPr>
            <w:r>
              <w:rPr>
                <w:rFonts w:hint="eastAsia" w:ascii="仿宋" w:hAnsi="仿宋" w:eastAsia="仿宋" w:cs="宋体"/>
                <w:b/>
                <w:bCs/>
                <w:color w:val="000000"/>
                <w:sz w:val="28"/>
                <w:szCs w:val="28"/>
                <w:lang w:val="en-US" w:eastAsia="zh-CN"/>
              </w:rPr>
              <w:t>唐山国际旅游岛文化广电和旅游局</w:t>
            </w:r>
            <w:r>
              <w:rPr>
                <w:rFonts w:hint="eastAsia" w:ascii="仿宋" w:hAnsi="仿宋" w:eastAsia="仿宋" w:cs="宋体"/>
                <w:b/>
                <w:bCs/>
                <w:color w:val="000000"/>
                <w:sz w:val="28"/>
                <w:szCs w:val="28"/>
              </w:rPr>
              <w:t>固定资产占用情况表</w:t>
            </w:r>
          </w:p>
        </w:tc>
      </w:tr>
      <w:tr>
        <w:tblPrEx>
          <w:tblCellMar>
            <w:top w:w="0" w:type="dxa"/>
            <w:left w:w="108" w:type="dxa"/>
            <w:bottom w:w="0" w:type="dxa"/>
            <w:right w:w="108" w:type="dxa"/>
          </w:tblCellMar>
        </w:tblPrEx>
        <w:trPr>
          <w:trHeight w:val="262" w:hRule="atLeast"/>
        </w:trPr>
        <w:tc>
          <w:tcPr>
            <w:tcW w:w="14174" w:type="dxa"/>
            <w:gridSpan w:val="3"/>
            <w:tcBorders>
              <w:top w:val="nil"/>
              <w:left w:val="nil"/>
              <w:bottom w:val="single" w:color="000000" w:sz="8" w:space="0"/>
              <w:right w:val="nil"/>
            </w:tcBorders>
            <w:noWrap/>
            <w:vAlign w:val="bottom"/>
          </w:tcPr>
          <w:p>
            <w:pPr>
              <w:widowControl/>
              <w:jc w:val="right"/>
              <w:rPr>
                <w:rFonts w:ascii="仿宋" w:hAnsi="仿宋" w:eastAsia="仿宋" w:cs="宋体"/>
                <w:sz w:val="28"/>
                <w:szCs w:val="28"/>
              </w:rPr>
            </w:pPr>
            <w:r>
              <w:rPr>
                <w:rFonts w:hint="eastAsia" w:ascii="仿宋" w:hAnsi="仿宋" w:eastAsia="仿宋" w:cs="宋体"/>
                <w:sz w:val="28"/>
                <w:szCs w:val="28"/>
              </w:rPr>
              <w:t>截止时间：</w:t>
            </w:r>
            <w:r>
              <w:rPr>
                <w:rFonts w:hint="eastAsia" w:ascii="仿宋" w:hAnsi="仿宋" w:eastAsia="仿宋" w:cs="宋体"/>
                <w:sz w:val="28"/>
                <w:szCs w:val="28"/>
                <w:lang w:val="en-US" w:eastAsia="zh-CN"/>
              </w:rPr>
              <w:t>2022</w:t>
            </w:r>
            <w:r>
              <w:rPr>
                <w:rFonts w:hint="eastAsia" w:ascii="仿宋" w:hAnsi="仿宋" w:eastAsia="仿宋" w:cs="宋体"/>
                <w:sz w:val="28"/>
                <w:szCs w:val="28"/>
              </w:rPr>
              <w:t>年12月31日</w:t>
            </w:r>
          </w:p>
        </w:tc>
      </w:tr>
      <w:tr>
        <w:tblPrEx>
          <w:tblCellMar>
            <w:top w:w="0" w:type="dxa"/>
            <w:left w:w="108" w:type="dxa"/>
            <w:bottom w:w="0" w:type="dxa"/>
            <w:right w:w="108" w:type="dxa"/>
          </w:tblCellMar>
        </w:tblPrEx>
        <w:trPr>
          <w:trHeight w:val="624" w:hRule="atLeast"/>
        </w:trPr>
        <w:tc>
          <w:tcPr>
            <w:tcW w:w="9901"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仿宋" w:hAnsi="仿宋" w:eastAsia="仿宋" w:cs="宋体"/>
                <w:sz w:val="28"/>
                <w:szCs w:val="28"/>
              </w:rPr>
            </w:pPr>
            <w:r>
              <w:rPr>
                <w:rFonts w:hint="eastAsia" w:ascii="仿宋" w:hAnsi="仿宋" w:eastAsia="仿宋" w:cs="宋体"/>
                <w:sz w:val="28"/>
                <w:szCs w:val="28"/>
              </w:rPr>
              <w:t>项　　目</w:t>
            </w:r>
          </w:p>
        </w:tc>
        <w:tc>
          <w:tcPr>
            <w:tcW w:w="1364"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仿宋" w:hAnsi="仿宋" w:eastAsia="仿宋" w:cs="宋体"/>
                <w:sz w:val="28"/>
                <w:szCs w:val="28"/>
              </w:rPr>
            </w:pPr>
            <w:r>
              <w:rPr>
                <w:rFonts w:hint="eastAsia" w:ascii="仿宋" w:hAnsi="仿宋" w:eastAsia="仿宋" w:cs="宋体"/>
                <w:sz w:val="28"/>
                <w:szCs w:val="28"/>
              </w:rPr>
              <w:t>数量</w:t>
            </w:r>
          </w:p>
        </w:tc>
        <w:tc>
          <w:tcPr>
            <w:tcW w:w="2909"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仿宋" w:hAnsi="仿宋" w:eastAsia="仿宋" w:cs="宋体"/>
                <w:sz w:val="28"/>
                <w:szCs w:val="28"/>
              </w:rPr>
            </w:pPr>
            <w:r>
              <w:rPr>
                <w:rFonts w:hint="eastAsia" w:ascii="仿宋" w:hAnsi="仿宋" w:eastAsia="仿宋" w:cs="宋体"/>
                <w:sz w:val="28"/>
                <w:szCs w:val="28"/>
              </w:rPr>
              <w:t>金额（万元）</w:t>
            </w:r>
          </w:p>
        </w:tc>
      </w:tr>
      <w:tr>
        <w:tblPrEx>
          <w:tblCellMar>
            <w:top w:w="0" w:type="dxa"/>
            <w:left w:w="108" w:type="dxa"/>
            <w:bottom w:w="0" w:type="dxa"/>
            <w:right w:w="108" w:type="dxa"/>
          </w:tblCellMar>
        </w:tblPrEx>
        <w:trPr>
          <w:trHeight w:val="291"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center"/>
              <w:rPr>
                <w:rFonts w:ascii="仿宋" w:hAnsi="仿宋" w:eastAsia="仿宋" w:cs="宋体"/>
                <w:sz w:val="28"/>
                <w:szCs w:val="28"/>
              </w:rPr>
            </w:pPr>
            <w:r>
              <w:rPr>
                <w:rFonts w:hint="eastAsia" w:ascii="仿宋" w:hAnsi="仿宋" w:eastAsia="仿宋" w:cs="宋体"/>
                <w:sz w:val="28"/>
                <w:szCs w:val="28"/>
              </w:rPr>
              <w:t>资产总额</w:t>
            </w:r>
          </w:p>
        </w:tc>
        <w:tc>
          <w:tcPr>
            <w:tcW w:w="1364" w:type="dxa"/>
            <w:tcBorders>
              <w:top w:val="nil"/>
              <w:left w:val="nil"/>
              <w:bottom w:val="single" w:color="000000" w:sz="8" w:space="0"/>
              <w:right w:val="single" w:color="000000" w:sz="8" w:space="0"/>
            </w:tcBorders>
            <w:noWrap/>
            <w:vAlign w:val="center"/>
          </w:tcPr>
          <w:p>
            <w:pPr>
              <w:widowControl/>
              <w:jc w:val="center"/>
              <w:rPr>
                <w:rFonts w:ascii="仿宋" w:hAnsi="仿宋" w:eastAsia="仿宋" w:cs="宋体"/>
                <w:sz w:val="28"/>
                <w:szCs w:val="28"/>
              </w:rPr>
            </w:pPr>
          </w:p>
        </w:tc>
        <w:tc>
          <w:tcPr>
            <w:tcW w:w="2909"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lang w:val="en-US" w:eastAsia="zh-CN"/>
              </w:rPr>
            </w:pPr>
            <w:r>
              <w:rPr>
                <w:rFonts w:hint="eastAsia" w:ascii="仿宋" w:hAnsi="仿宋" w:eastAsia="仿宋" w:cs="宋体"/>
                <w:sz w:val="28"/>
                <w:szCs w:val="28"/>
                <w:lang w:val="en-US" w:eastAsia="zh-CN"/>
              </w:rPr>
              <w:t>14.87</w:t>
            </w:r>
          </w:p>
        </w:tc>
      </w:tr>
      <w:tr>
        <w:tblPrEx>
          <w:tblCellMar>
            <w:top w:w="0" w:type="dxa"/>
            <w:left w:w="108" w:type="dxa"/>
            <w:bottom w:w="0" w:type="dxa"/>
            <w:right w:w="108" w:type="dxa"/>
          </w:tblCellMar>
        </w:tblPrEx>
        <w:trPr>
          <w:trHeight w:val="225"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ascii="仿宋" w:hAnsi="仿宋" w:eastAsia="仿宋" w:cs="宋体"/>
                <w:sz w:val="28"/>
                <w:szCs w:val="28"/>
              </w:rPr>
            </w:pPr>
            <w:r>
              <w:rPr>
                <w:rFonts w:hint="eastAsia" w:ascii="仿宋" w:hAnsi="仿宋" w:eastAsia="仿宋" w:cs="宋体"/>
                <w:sz w:val="28"/>
                <w:szCs w:val="28"/>
              </w:rPr>
              <w:t>一、房屋（平方米）</w:t>
            </w:r>
          </w:p>
        </w:tc>
        <w:tc>
          <w:tcPr>
            <w:tcW w:w="1364"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rPr>
            </w:pPr>
            <w:r>
              <w:rPr>
                <w:rFonts w:hint="eastAsia" w:ascii="仿宋" w:hAnsi="仿宋" w:eastAsia="仿宋" w:cs="宋体"/>
                <w:sz w:val="28"/>
                <w:szCs w:val="28"/>
              </w:rPr>
              <w:t>　</w:t>
            </w:r>
          </w:p>
        </w:tc>
        <w:tc>
          <w:tcPr>
            <w:tcW w:w="2909"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color w:val="FF0000"/>
                <w:sz w:val="28"/>
                <w:szCs w:val="28"/>
              </w:rPr>
            </w:pPr>
            <w:r>
              <w:rPr>
                <w:rFonts w:hint="eastAsia" w:ascii="仿宋" w:hAnsi="仿宋" w:eastAsia="仿宋" w:cs="宋体"/>
                <w:color w:val="FF0000"/>
                <w:sz w:val="28"/>
                <w:szCs w:val="28"/>
              </w:rPr>
              <w:t>　</w:t>
            </w:r>
          </w:p>
        </w:tc>
      </w:tr>
      <w:tr>
        <w:tblPrEx>
          <w:tblCellMar>
            <w:top w:w="0" w:type="dxa"/>
            <w:left w:w="108" w:type="dxa"/>
            <w:bottom w:w="0" w:type="dxa"/>
            <w:right w:w="108" w:type="dxa"/>
          </w:tblCellMar>
        </w:tblPrEx>
        <w:trPr>
          <w:trHeight w:val="465"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ascii="仿宋" w:hAnsi="仿宋" w:eastAsia="仿宋" w:cs="宋体"/>
                <w:sz w:val="28"/>
                <w:szCs w:val="28"/>
              </w:rPr>
            </w:pPr>
            <w:r>
              <w:rPr>
                <w:rFonts w:hint="eastAsia" w:ascii="仿宋" w:hAnsi="仿宋" w:eastAsia="仿宋" w:cs="宋体"/>
                <w:sz w:val="28"/>
                <w:szCs w:val="28"/>
              </w:rPr>
              <w:t xml:space="preserve">        其中：办公用房</w:t>
            </w:r>
          </w:p>
        </w:tc>
        <w:tc>
          <w:tcPr>
            <w:tcW w:w="1364"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rPr>
            </w:pPr>
            <w:r>
              <w:rPr>
                <w:rFonts w:hint="eastAsia" w:ascii="仿宋" w:hAnsi="仿宋" w:eastAsia="仿宋" w:cs="宋体"/>
                <w:sz w:val="28"/>
                <w:szCs w:val="28"/>
              </w:rPr>
              <w:t>　</w:t>
            </w:r>
          </w:p>
        </w:tc>
        <w:tc>
          <w:tcPr>
            <w:tcW w:w="2909"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color w:val="FF0000"/>
                <w:sz w:val="28"/>
                <w:szCs w:val="28"/>
              </w:rPr>
            </w:pPr>
            <w:r>
              <w:rPr>
                <w:rFonts w:hint="eastAsia" w:ascii="仿宋" w:hAnsi="仿宋" w:eastAsia="仿宋" w:cs="宋体"/>
                <w:color w:val="FF0000"/>
                <w:sz w:val="28"/>
                <w:szCs w:val="28"/>
              </w:rPr>
              <w:t>　</w:t>
            </w:r>
          </w:p>
        </w:tc>
      </w:tr>
      <w:tr>
        <w:tblPrEx>
          <w:tblCellMar>
            <w:top w:w="0" w:type="dxa"/>
            <w:left w:w="108" w:type="dxa"/>
            <w:bottom w:w="0" w:type="dxa"/>
            <w:right w:w="108" w:type="dxa"/>
          </w:tblCellMar>
        </w:tblPrEx>
        <w:trPr>
          <w:trHeight w:val="432"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ascii="仿宋" w:hAnsi="仿宋" w:eastAsia="仿宋" w:cs="宋体"/>
                <w:sz w:val="28"/>
                <w:szCs w:val="28"/>
              </w:rPr>
            </w:pPr>
            <w:r>
              <w:rPr>
                <w:rFonts w:hint="eastAsia" w:ascii="仿宋" w:hAnsi="仿宋" w:eastAsia="仿宋" w:cs="宋体"/>
                <w:sz w:val="28"/>
                <w:szCs w:val="28"/>
              </w:rPr>
              <w:t>二、汽车（台、辆）</w:t>
            </w:r>
          </w:p>
        </w:tc>
        <w:tc>
          <w:tcPr>
            <w:tcW w:w="1364" w:type="dxa"/>
            <w:tcBorders>
              <w:top w:val="nil"/>
              <w:left w:val="nil"/>
              <w:bottom w:val="single" w:color="000000" w:sz="8" w:space="0"/>
              <w:right w:val="single" w:color="000000" w:sz="8" w:space="0"/>
            </w:tcBorders>
            <w:noWrap/>
            <w:vAlign w:val="center"/>
          </w:tcPr>
          <w:p>
            <w:pPr>
              <w:widowControl/>
              <w:jc w:val="right"/>
              <w:rPr>
                <w:rFonts w:hint="eastAsia" w:ascii="仿宋" w:hAnsi="仿宋" w:eastAsia="仿宋" w:cs="宋体"/>
                <w:sz w:val="28"/>
                <w:szCs w:val="28"/>
                <w:lang w:val="en-US" w:eastAsia="zh-CN"/>
              </w:rPr>
            </w:pPr>
          </w:p>
        </w:tc>
        <w:tc>
          <w:tcPr>
            <w:tcW w:w="2909" w:type="dxa"/>
            <w:tcBorders>
              <w:top w:val="nil"/>
              <w:left w:val="nil"/>
              <w:bottom w:val="single" w:color="000000" w:sz="8" w:space="0"/>
              <w:right w:val="single" w:color="000000" w:sz="8" w:space="0"/>
            </w:tcBorders>
            <w:noWrap/>
            <w:vAlign w:val="center"/>
          </w:tcPr>
          <w:p>
            <w:pPr>
              <w:widowControl/>
              <w:jc w:val="right"/>
              <w:rPr>
                <w:rFonts w:hint="eastAsia" w:ascii="仿宋" w:hAnsi="仿宋" w:eastAsia="仿宋" w:cs="宋体"/>
                <w:sz w:val="28"/>
                <w:szCs w:val="28"/>
                <w:lang w:val="en-US" w:eastAsia="zh-CN"/>
              </w:rPr>
            </w:pPr>
          </w:p>
        </w:tc>
      </w:tr>
      <w:tr>
        <w:tblPrEx>
          <w:tblCellMar>
            <w:top w:w="0" w:type="dxa"/>
            <w:left w:w="108" w:type="dxa"/>
            <w:bottom w:w="0" w:type="dxa"/>
            <w:right w:w="108" w:type="dxa"/>
          </w:tblCellMar>
        </w:tblPrEx>
        <w:trPr>
          <w:trHeight w:val="465"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ascii="仿宋" w:hAnsi="仿宋" w:eastAsia="仿宋" w:cs="宋体"/>
                <w:sz w:val="28"/>
                <w:szCs w:val="28"/>
              </w:rPr>
            </w:pPr>
            <w:r>
              <w:rPr>
                <w:rFonts w:hint="eastAsia" w:ascii="仿宋" w:hAnsi="仿宋" w:eastAsia="仿宋" w:cs="宋体"/>
                <w:sz w:val="28"/>
                <w:szCs w:val="28"/>
              </w:rPr>
              <w:t>三、单价在20万元以上的设备（台、套…）</w:t>
            </w:r>
          </w:p>
        </w:tc>
        <w:tc>
          <w:tcPr>
            <w:tcW w:w="1364"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rPr>
            </w:pPr>
            <w:r>
              <w:rPr>
                <w:rFonts w:hint="eastAsia" w:ascii="仿宋" w:hAnsi="仿宋" w:eastAsia="仿宋" w:cs="宋体"/>
                <w:sz w:val="28"/>
                <w:szCs w:val="28"/>
                <w:lang w:val="en-US" w:eastAsia="zh-CN"/>
              </w:rPr>
              <w:t>0</w:t>
            </w:r>
            <w:r>
              <w:rPr>
                <w:rFonts w:hint="eastAsia" w:ascii="仿宋" w:hAnsi="仿宋" w:eastAsia="仿宋" w:cs="宋体"/>
                <w:sz w:val="28"/>
                <w:szCs w:val="28"/>
              </w:rPr>
              <w:t>　</w:t>
            </w:r>
          </w:p>
        </w:tc>
        <w:tc>
          <w:tcPr>
            <w:tcW w:w="2909"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rPr>
            </w:pPr>
            <w:r>
              <w:rPr>
                <w:rFonts w:hint="eastAsia" w:ascii="仿宋" w:hAnsi="仿宋" w:eastAsia="仿宋" w:cs="宋体"/>
                <w:sz w:val="28"/>
                <w:szCs w:val="28"/>
                <w:lang w:val="en-US" w:eastAsia="zh-CN"/>
              </w:rPr>
              <w:t>0</w:t>
            </w:r>
            <w:r>
              <w:rPr>
                <w:rFonts w:hint="eastAsia" w:ascii="仿宋" w:hAnsi="仿宋" w:eastAsia="仿宋" w:cs="宋体"/>
                <w:sz w:val="28"/>
                <w:szCs w:val="28"/>
              </w:rPr>
              <w:t>　</w:t>
            </w:r>
          </w:p>
        </w:tc>
      </w:tr>
      <w:tr>
        <w:tblPrEx>
          <w:tblCellMar>
            <w:top w:w="0" w:type="dxa"/>
            <w:left w:w="108" w:type="dxa"/>
            <w:bottom w:w="0" w:type="dxa"/>
            <w:right w:w="108" w:type="dxa"/>
          </w:tblCellMar>
        </w:tblPrEx>
        <w:trPr>
          <w:trHeight w:val="465"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hint="eastAsia" w:ascii="仿宋" w:hAnsi="仿宋" w:eastAsia="仿宋" w:cs="宋体"/>
                <w:sz w:val="28"/>
                <w:szCs w:val="28"/>
              </w:rPr>
            </w:pPr>
            <w:r>
              <w:rPr>
                <w:rFonts w:hint="eastAsia" w:ascii="仿宋" w:hAnsi="仿宋" w:eastAsia="仿宋" w:cs="宋体"/>
                <w:sz w:val="28"/>
                <w:szCs w:val="28"/>
              </w:rPr>
              <w:t>四、其他固定资产</w:t>
            </w:r>
          </w:p>
        </w:tc>
        <w:tc>
          <w:tcPr>
            <w:tcW w:w="1364"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lang w:val="en-US" w:eastAsia="zh-CN"/>
              </w:rPr>
            </w:pPr>
            <w:r>
              <w:rPr>
                <w:rFonts w:hint="eastAsia" w:ascii="仿宋" w:hAnsi="仿宋" w:eastAsia="仿宋" w:cs="宋体"/>
                <w:sz w:val="28"/>
                <w:szCs w:val="28"/>
                <w:lang w:val="en-US" w:eastAsia="zh-CN"/>
              </w:rPr>
              <w:t>56</w:t>
            </w:r>
          </w:p>
        </w:tc>
        <w:tc>
          <w:tcPr>
            <w:tcW w:w="2909"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lang w:val="en-US" w:eastAsia="zh-CN" w:bidi="ar-SA"/>
              </w:rPr>
            </w:pPr>
            <w:r>
              <w:rPr>
                <w:rFonts w:hint="eastAsia" w:ascii="仿宋" w:hAnsi="仿宋" w:eastAsia="仿宋" w:cs="宋体"/>
                <w:sz w:val="28"/>
                <w:szCs w:val="28"/>
                <w:lang w:val="en-US" w:eastAsia="zh-CN" w:bidi="ar-SA"/>
              </w:rPr>
              <w:t>14.87</w:t>
            </w:r>
          </w:p>
        </w:tc>
      </w:tr>
      <w:tr>
        <w:tblPrEx>
          <w:tblCellMar>
            <w:top w:w="0" w:type="dxa"/>
            <w:left w:w="108" w:type="dxa"/>
            <w:bottom w:w="0" w:type="dxa"/>
            <w:right w:w="108" w:type="dxa"/>
          </w:tblCellMar>
        </w:tblPrEx>
        <w:trPr>
          <w:trHeight w:val="465" w:hRule="atLeast"/>
        </w:trPr>
        <w:tc>
          <w:tcPr>
            <w:tcW w:w="9901" w:type="dxa"/>
            <w:tcBorders>
              <w:top w:val="nil"/>
              <w:left w:val="single" w:color="000000" w:sz="8" w:space="0"/>
              <w:bottom w:val="single" w:color="000000" w:sz="8" w:space="0"/>
              <w:right w:val="single" w:color="000000" w:sz="8" w:space="0"/>
            </w:tcBorders>
            <w:noWrap/>
            <w:vAlign w:val="center"/>
          </w:tcPr>
          <w:p>
            <w:pPr>
              <w:widowControl/>
              <w:jc w:val="left"/>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五</w:t>
            </w:r>
            <w:r>
              <w:rPr>
                <w:rFonts w:hint="eastAsia" w:ascii="仿宋" w:hAnsi="仿宋" w:eastAsia="仿宋" w:cs="宋体"/>
                <w:sz w:val="28"/>
                <w:szCs w:val="28"/>
              </w:rPr>
              <w:t>、</w:t>
            </w:r>
            <w:r>
              <w:rPr>
                <w:rFonts w:hint="eastAsia" w:ascii="仿宋" w:hAnsi="仿宋" w:eastAsia="仿宋" w:cs="宋体"/>
                <w:sz w:val="28"/>
                <w:szCs w:val="28"/>
                <w:lang w:val="en-US" w:eastAsia="zh-CN"/>
              </w:rPr>
              <w:t>无形资产</w:t>
            </w:r>
          </w:p>
        </w:tc>
        <w:tc>
          <w:tcPr>
            <w:tcW w:w="1364" w:type="dxa"/>
            <w:tcBorders>
              <w:top w:val="nil"/>
              <w:left w:val="nil"/>
              <w:bottom w:val="single" w:color="000000" w:sz="8" w:space="0"/>
              <w:right w:val="single" w:color="000000" w:sz="8" w:space="0"/>
            </w:tcBorders>
            <w:noWrap/>
            <w:vAlign w:val="center"/>
          </w:tcPr>
          <w:p>
            <w:pPr>
              <w:widowControl/>
              <w:jc w:val="right"/>
              <w:rPr>
                <w:rFonts w:ascii="仿宋" w:hAnsi="仿宋" w:eastAsia="仿宋" w:cs="宋体"/>
                <w:sz w:val="28"/>
                <w:szCs w:val="28"/>
                <w:lang w:val="en-US" w:eastAsia="zh-CN"/>
              </w:rPr>
            </w:pPr>
            <w:r>
              <w:rPr>
                <w:rFonts w:hint="eastAsia" w:ascii="仿宋" w:hAnsi="仿宋" w:eastAsia="仿宋" w:cs="宋体"/>
                <w:sz w:val="28"/>
                <w:szCs w:val="28"/>
                <w:lang w:val="en-US" w:eastAsia="zh-CN"/>
              </w:rPr>
              <w:t>0</w:t>
            </w:r>
          </w:p>
        </w:tc>
        <w:tc>
          <w:tcPr>
            <w:tcW w:w="2909" w:type="dxa"/>
            <w:tcBorders>
              <w:top w:val="nil"/>
              <w:left w:val="nil"/>
              <w:bottom w:val="single" w:color="000000" w:sz="8" w:space="0"/>
              <w:right w:val="single" w:color="000000" w:sz="8" w:space="0"/>
            </w:tcBorders>
            <w:noWrap/>
            <w:vAlign w:val="center"/>
          </w:tcPr>
          <w:p>
            <w:pPr>
              <w:widowControl/>
              <w:jc w:val="right"/>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0</w:t>
            </w:r>
          </w:p>
        </w:tc>
      </w:tr>
    </w:tbl>
    <w:p>
      <w:pPr>
        <w:ind w:firstLine="560"/>
        <w:rPr>
          <w:rFonts w:hint="eastAsia" w:ascii="仿宋_GB2312" w:hAnsi="仿宋_GB2312" w:eastAsia="仿宋_GB2312" w:cs="仿宋_GB2312"/>
          <w:color w:val="000000"/>
          <w:sz w:val="28"/>
          <w:szCs w:val="28"/>
        </w:rPr>
      </w:pPr>
    </w:p>
    <w:p>
      <w:pPr>
        <w:ind w:firstLine="560"/>
        <w:rPr>
          <w:rFonts w:hint="eastAsia" w:ascii="黑体" w:hAnsi="黑体" w:eastAsia="黑体" w:cs="黑体"/>
          <w:sz w:val="28"/>
          <w:szCs w:val="28"/>
        </w:rPr>
      </w:pPr>
      <w:r>
        <w:rPr>
          <w:rFonts w:hint="eastAsia" w:ascii="黑体" w:hAnsi="黑体" w:eastAsia="黑体" w:cs="黑体"/>
          <w:sz w:val="28"/>
          <w:szCs w:val="28"/>
        </w:rPr>
        <w:t>八、专业名词解释</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1、一般公共预算拨款收入：指</w:t>
      </w:r>
      <w:r>
        <w:rPr>
          <w:rFonts w:hint="eastAsia" w:ascii="仿宋_GB2312" w:hAnsi="仿宋_GB2312" w:eastAsia="仿宋_GB2312" w:cs="仿宋_GB2312"/>
          <w:sz w:val="28"/>
          <w:szCs w:val="28"/>
          <w:lang w:eastAsia="zh-CN"/>
        </w:rPr>
        <w:t>本级</w:t>
      </w:r>
      <w:r>
        <w:rPr>
          <w:rFonts w:hint="eastAsia" w:ascii="仿宋_GB2312" w:hAnsi="仿宋_GB2312" w:eastAsia="仿宋_GB2312" w:cs="仿宋_GB2312"/>
          <w:sz w:val="28"/>
          <w:szCs w:val="28"/>
        </w:rPr>
        <w:t xml:space="preserve">财政当年拨付的资金。 </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2、其他收入：指除上述“财政拨款收入”、“事业收入”等以外的收入。</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3、基本支出：指为保障机构正常运转、完成日常工作任务而发生的人员支出和公用支出。</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4、项目支出：指在基本支出之外为完成特定行政任务和事业发展目标所发生的支出。 </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5、“三公”经费：纳入</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级财政预算管理的“三公”经费，是指</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 xml:space="preserve">级部门用财政拨款安排的因公出 国（境）费、公务用车购置及运行费和公务接待费。其中，因公出国（境）费反映单位公务出国（境） 的住宿费、旅费、伙食补助费、杂费、培训费等支出；公务用车购置及运行费反映单位公务用车购置 费及租用费、燃料费、维修费、过路过桥费、保险费、安全奖励费用等支出；公务接待费反映单位按规定开支的各类公务接待（含外宾接待）支出。 </w:t>
      </w:r>
    </w:p>
    <w:p>
      <w:pPr>
        <w:spacing w:line="57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6、机关运行费：为保障行政单位（含参照公务员法管理的事业单位）运行用于购买货物和服务的各项资金，包括办公</w:t>
      </w:r>
      <w:r>
        <w:rPr>
          <w:rFonts w:hint="eastAsia" w:ascii="仿宋_GB2312" w:hAnsi="仿宋_GB2312" w:eastAsia="仿宋_GB2312" w:cs="仿宋_GB2312"/>
          <w:sz w:val="28"/>
          <w:szCs w:val="28"/>
          <w:lang w:val="en-US" w:eastAsia="zh-CN"/>
        </w:rPr>
        <w:t>费、</w:t>
      </w:r>
      <w:r>
        <w:rPr>
          <w:rFonts w:hint="eastAsia" w:ascii="仿宋_GB2312" w:hAnsi="仿宋_GB2312" w:eastAsia="仿宋_GB2312" w:cs="仿宋_GB2312"/>
          <w:sz w:val="28"/>
          <w:szCs w:val="28"/>
        </w:rPr>
        <w:t>印刷费、邮电费、差旅费、会议费、福利费、日常维修费、专用材料、办公用房水电费、办公用房取暖费、办公用房物业管理费、公务用车运行维护费以及其他费用。</w:t>
      </w:r>
    </w:p>
    <w:p>
      <w:pPr>
        <w:ind w:firstLine="560"/>
        <w:rPr>
          <w:rFonts w:hint="eastAsia" w:ascii="黑体" w:hAnsi="黑体" w:eastAsia="黑体" w:cs="黑体"/>
          <w:sz w:val="28"/>
          <w:szCs w:val="28"/>
        </w:rPr>
      </w:pPr>
      <w:r>
        <w:rPr>
          <w:rFonts w:hint="eastAsia" w:ascii="黑体" w:hAnsi="黑体" w:eastAsia="黑体" w:cs="黑体"/>
          <w:sz w:val="28"/>
          <w:szCs w:val="28"/>
        </w:rPr>
        <w:t>九、其他需要说明的事项</w:t>
      </w:r>
    </w:p>
    <w:p>
      <w:pPr>
        <w:ind w:firstLine="560"/>
        <w:rPr>
          <w:rFonts w:ascii="仿宋" w:hAnsi="仿宋" w:eastAsia="仿宋"/>
        </w:rPr>
      </w:pPr>
      <w:r>
        <w:rPr>
          <w:rFonts w:hint="eastAsia" w:ascii="仿宋_GB2312" w:hAnsi="仿宋_GB2312" w:eastAsia="仿宋_GB2312" w:cs="仿宋_GB2312"/>
          <w:sz w:val="28"/>
          <w:szCs w:val="28"/>
        </w:rPr>
        <w:t>无。</w:t>
      </w:r>
    </w:p>
    <w:sectPr>
      <w:pgSz w:w="16838" w:h="11906" w:orient="landscape"/>
      <w:pgMar w:top="1800" w:right="1440" w:bottom="1800" w:left="1383"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53208E"/>
    <w:multiLevelType w:val="multilevel"/>
    <w:tmpl w:val="0053208E"/>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NmMzZTU5OTc4ZDI2OTMxM2UxMzVmMDRlMzJhZGYifQ=="/>
    <w:docVar w:name="KSO_WPS_MARK_KEY" w:val="75044dde-58a5-45a9-8458-c9dc2dd5fc69"/>
  </w:docVars>
  <w:rsids>
    <w:rsidRoot w:val="00000000"/>
    <w:rsid w:val="006A20EB"/>
    <w:rsid w:val="71BD4F2E"/>
    <w:rsid w:val="7EF60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3"/>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文本1"/>
    <w:basedOn w:val="1"/>
    <w:link w:val="185"/>
    <w:qFormat/>
    <w:uiPriority w:val="1"/>
    <w:rPr>
      <w:rFonts w:ascii="宋体" w:hAnsi="宋体" w:eastAsia="宋体" w:cs="宋体"/>
      <w:sz w:val="32"/>
      <w:szCs w:val="32"/>
      <w:lang w:val="zh-CN" w:eastAsia="zh-CN" w:bidi="zh-CN"/>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footer"/>
    <w:basedOn w:val="1"/>
    <w:link w:val="54"/>
    <w:unhideWhenUsed/>
    <w:uiPriority w:val="99"/>
    <w:pPr>
      <w:tabs>
        <w:tab w:val="center" w:pos="7143"/>
        <w:tab w:val="right" w:pos="14287"/>
      </w:tabs>
      <w:spacing w:after="0" w:line="240" w:lineRule="auto"/>
    </w:pPr>
  </w:style>
  <w:style w:type="paragraph" w:styleId="19">
    <w:name w:val="header"/>
    <w:basedOn w:val="1"/>
    <w:link w:val="52"/>
    <w:unhideWhenUsed/>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uiPriority w:val="99"/>
    <w:rPr>
      <w:vertAlign w:val="superscript"/>
    </w:rPr>
  </w:style>
  <w:style w:type="character" w:styleId="33">
    <w:name w:val="Hyperlink"/>
    <w:unhideWhenUsed/>
    <w:uiPriority w:val="99"/>
    <w:rPr>
      <w:color w:val="0000FF" w:themeColor="hyperlink"/>
      <w:u w:val="single"/>
    </w:rPr>
  </w:style>
  <w:style w:type="character" w:styleId="34">
    <w:name w:val="footnote reference"/>
    <w:unhideWhenUsed/>
    <w:uiPriority w:val="99"/>
    <w:rPr>
      <w:vertAlign w:val="superscript"/>
    </w:rPr>
  </w:style>
  <w:style w:type="character" w:customStyle="1" w:styleId="35">
    <w:name w:val="Heading 1 Char"/>
    <w:link w:val="3"/>
    <w:uiPriority w:val="9"/>
    <w:rPr>
      <w:rFonts w:ascii="Arial" w:hAnsi="Arial" w:eastAsia="Arial" w:cs="Arial"/>
      <w:sz w:val="40"/>
      <w:szCs w:val="40"/>
    </w:rPr>
  </w:style>
  <w:style w:type="character" w:customStyle="1" w:styleId="36">
    <w:name w:val="Heading 2 Char"/>
    <w:link w:val="4"/>
    <w:uiPriority w:val="9"/>
    <w:rPr>
      <w:rFonts w:ascii="Arial" w:hAnsi="Arial" w:eastAsia="Arial" w:cs="Arial"/>
      <w:sz w:val="34"/>
    </w:rPr>
  </w:style>
  <w:style w:type="character" w:customStyle="1" w:styleId="37">
    <w:name w:val="Heading 3 Char"/>
    <w:link w:val="5"/>
    <w:uiPriority w:val="9"/>
    <w:rPr>
      <w:rFonts w:ascii="Arial" w:hAnsi="Arial" w:eastAsia="Arial" w:cs="Arial"/>
      <w:sz w:val="30"/>
      <w:szCs w:val="30"/>
    </w:rPr>
  </w:style>
  <w:style w:type="character" w:customStyle="1" w:styleId="38">
    <w:name w:val="Heading 4 Char"/>
    <w:link w:val="6"/>
    <w:uiPriority w:val="9"/>
    <w:rPr>
      <w:rFonts w:ascii="Arial" w:hAnsi="Arial" w:eastAsia="Arial" w:cs="Arial"/>
      <w:b/>
      <w:bCs/>
      <w:sz w:val="26"/>
      <w:szCs w:val="26"/>
    </w:rPr>
  </w:style>
  <w:style w:type="character" w:customStyle="1" w:styleId="39">
    <w:name w:val="Heading 5 Char"/>
    <w:link w:val="7"/>
    <w:uiPriority w:val="9"/>
    <w:rPr>
      <w:rFonts w:ascii="Arial" w:hAnsi="Arial" w:eastAsia="Arial" w:cs="Arial"/>
      <w:b/>
      <w:bCs/>
      <w:sz w:val="24"/>
      <w:szCs w:val="24"/>
    </w:rPr>
  </w:style>
  <w:style w:type="character" w:customStyle="1" w:styleId="40">
    <w:name w:val="Heading 6 Char"/>
    <w:link w:val="8"/>
    <w:uiPriority w:val="9"/>
    <w:rPr>
      <w:rFonts w:ascii="Arial" w:hAnsi="Arial" w:eastAsia="Arial" w:cs="Arial"/>
      <w:b/>
      <w:bCs/>
      <w:sz w:val="22"/>
      <w:szCs w:val="22"/>
    </w:rPr>
  </w:style>
  <w:style w:type="character" w:customStyle="1" w:styleId="41">
    <w:name w:val="Heading 7 Char"/>
    <w:link w:val="9"/>
    <w:uiPriority w:val="9"/>
    <w:rPr>
      <w:rFonts w:ascii="Arial" w:hAnsi="Arial" w:eastAsia="Arial" w:cs="Arial"/>
      <w:b/>
      <w:bCs/>
      <w:i/>
      <w:iCs/>
      <w:sz w:val="22"/>
      <w:szCs w:val="22"/>
    </w:rPr>
  </w:style>
  <w:style w:type="character" w:customStyle="1" w:styleId="42">
    <w:name w:val="Heading 8 Char"/>
    <w:link w:val="10"/>
    <w:uiPriority w:val="9"/>
    <w:rPr>
      <w:rFonts w:ascii="Arial" w:hAnsi="Arial" w:eastAsia="Arial" w:cs="Arial"/>
      <w:i/>
      <w:iCs/>
      <w:sz w:val="22"/>
      <w:szCs w:val="22"/>
    </w:rPr>
  </w:style>
  <w:style w:type="character" w:customStyle="1" w:styleId="43">
    <w:name w:val="Heading 9 Char"/>
    <w:link w:val="11"/>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uiPriority w:val="10"/>
    <w:rPr>
      <w:sz w:val="48"/>
      <w:szCs w:val="48"/>
    </w:rPr>
  </w:style>
  <w:style w:type="character" w:customStyle="1" w:styleId="47">
    <w:name w:val="Subtitle Char"/>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link w:val="19"/>
    <w:uiPriority w:val="99"/>
  </w:style>
  <w:style w:type="character" w:customStyle="1" w:styleId="53">
    <w:name w:val="Footer Char"/>
    <w:link w:val="18"/>
    <w:uiPriority w:val="99"/>
  </w:style>
  <w:style w:type="character" w:customStyle="1" w:styleId="54">
    <w:name w:val="Caption Char"/>
    <w:link w:val="18"/>
    <w:uiPriority w:val="99"/>
  </w:style>
  <w:style w:type="table" w:customStyle="1" w:styleId="55">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3"/>
    <w:uiPriority w:val="99"/>
    <w:rPr>
      <w:sz w:val="18"/>
    </w:rPr>
  </w:style>
  <w:style w:type="character" w:customStyle="1" w:styleId="181">
    <w:name w:val="Endnote Text Char"/>
    <w:link w:val="17"/>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character" w:customStyle="1" w:styleId="183">
    <w:name w:val="默认段落字体1"/>
    <w:link w:val="1"/>
    <w:semiHidden/>
    <w:qFormat/>
    <w:uiPriority w:val="0"/>
  </w:style>
  <w:style w:type="table" w:customStyle="1" w:styleId="184">
    <w:name w:val="普通表格1"/>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5">
    <w:name w:val="正文文本 Char"/>
    <w:link w:val="2"/>
    <w:qFormat/>
    <w:uiPriority w:val="0"/>
    <w:rPr>
      <w:rFonts w:ascii="宋体" w:hAnsi="宋体" w:eastAsia="宋体" w:cs="宋体"/>
      <w:sz w:val="32"/>
      <w:szCs w:val="32"/>
      <w:lang w:val="zh-CN" w:eastAsia="zh-CN" w:bidi="zh-CN"/>
    </w:rPr>
  </w:style>
  <w:style w:type="paragraph" w:customStyle="1" w:styleId="186">
    <w:name w:val="普通(网站)1"/>
    <w:basedOn w:val="1"/>
    <w:qFormat/>
    <w:uiPriority w:val="0"/>
    <w:pPr>
      <w:spacing w:before="100" w:beforeAutospacing="1" w:after="100" w:afterAutospacing="1"/>
      <w:ind w:left="0" w:right="0"/>
      <w:jc w:val="left"/>
    </w:pPr>
    <w:rPr>
      <w:sz w:val="24"/>
      <w:lang w:val="en-US" w:eastAsia="zh-CN" w:bidi="ar"/>
    </w:rPr>
  </w:style>
  <w:style w:type="table" w:customStyle="1" w:styleId="187">
    <w:name w:val="网格型1"/>
    <w:basedOn w:val="184"/>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4615</Words>
  <Characters>4761</Characters>
  <TotalTime>2</TotalTime>
  <ScaleCrop>false</ScaleCrop>
  <LinksUpToDate>false</LinksUpToDate>
  <CharactersWithSpaces>4911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dc:creator>
  <cp:lastModifiedBy>小黑屋里的小黑污</cp:lastModifiedBy>
  <dcterms:modified xsi:type="dcterms:W3CDTF">2024-07-23T01:55:06Z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07A28D03B34E486D8E1629481EE8AA86_13</vt:lpwstr>
  </property>
</Properties>
</file>