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2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hint="eastAsia" w:eastAsia="方正小标宋_GBK"/>
          <w:sz w:val="72"/>
          <w:szCs w:val="72"/>
          <w:lang w:eastAsia="zh-CN"/>
        </w:rPr>
      </w:pPr>
      <w:r>
        <w:rPr>
          <w:rFonts w:hint="eastAsia" w:eastAsia="方正小标宋_GBK"/>
          <w:sz w:val="72"/>
          <w:szCs w:val="72"/>
          <w:lang w:eastAsia="zh-CN"/>
        </w:rPr>
        <w:t>唐山国际旅游岛</w:t>
      </w:r>
    </w:p>
    <w:p>
      <w:pPr>
        <w:jc w:val="center"/>
        <w:rPr>
          <w:rFonts w:hint="eastAsia" w:eastAsia="方正小标宋_GBK"/>
          <w:sz w:val="72"/>
          <w:szCs w:val="72"/>
        </w:rPr>
      </w:pPr>
      <w:r>
        <w:rPr>
          <w:rFonts w:hint="eastAsia" w:eastAsia="方正小标宋_GBK"/>
          <w:sz w:val="72"/>
          <w:szCs w:val="72"/>
          <w:lang w:eastAsia="zh-CN"/>
        </w:rPr>
        <w:t>景区管理执法局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  <w:lang w:val="en-US" w:eastAsia="zh-CN"/>
        </w:rPr>
        <w:t>2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eastAsia="方正小标宋_GBK"/>
          <w:sz w:val="72"/>
          <w:szCs w:val="72"/>
        </w:rPr>
        <w:t>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  <w:lang w:eastAsia="zh-CN"/>
        </w:rPr>
        <w:t>唐山国际旅游岛景区管理执法局</w:t>
      </w:r>
      <w:r>
        <w:rPr>
          <w:rFonts w:hint="eastAsia" w:eastAsia="方正楷体_GBK"/>
          <w:b/>
          <w:sz w:val="32"/>
          <w:szCs w:val="22"/>
        </w:rPr>
        <w:t>编制</w:t>
      </w:r>
    </w:p>
    <w:p>
      <w:pPr>
        <w:jc w:val="center"/>
        <w:rPr>
          <w:rFonts w:ascii="方正楷体_GBK"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</w:rPr>
        <w:t>河北省财政厅审核</w:t>
      </w:r>
    </w:p>
    <w:p>
      <w:pPr>
        <w:rPr>
          <w:szCs w:val="22"/>
        </w:rPr>
      </w:pPr>
    </w:p>
    <w:p>
      <w:pPr>
        <w:rPr>
          <w:rFonts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   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30"/>
          <w:szCs w:val="30"/>
        </w:rPr>
        <w:t xml:space="preserve">第一部分 </w:t>
      </w:r>
      <w:r>
        <w:rPr>
          <w:rFonts w:ascii="Times New Roman" w:hAnsi="Times New Roman" w:eastAsia="方正小标宋_GBK"/>
          <w:sz w:val="30"/>
          <w:szCs w:val="30"/>
        </w:rPr>
        <w:t xml:space="preserve"> 202</w:t>
      </w:r>
      <w:r>
        <w:rPr>
          <w:rFonts w:hint="eastAsia" w:ascii="Times New Roman" w:hAnsi="Times New Roman" w:eastAsia="方正小标宋_GBK"/>
          <w:sz w:val="30"/>
          <w:szCs w:val="3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年整体绩效目标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4</w:t>
      </w:r>
    </w:p>
    <w:p>
      <w:pPr>
        <w:rPr>
          <w:rFonts w:hint="default" w:ascii="Times New Roman" w:hAnsi="Times New Roman" w:eastAsia="方正小标宋_GBK"/>
          <w:sz w:val="32"/>
          <w:szCs w:val="32"/>
          <w:lang w:val="en-US" w:eastAsia="zh-CN"/>
        </w:rPr>
      </w:pPr>
      <w:r>
        <w:rPr>
          <w:rFonts w:hint="eastAsia" w:eastAsia="方正小标宋_GBK"/>
          <w:sz w:val="30"/>
          <w:szCs w:val="30"/>
        </w:rPr>
        <w:t>第</w:t>
      </w:r>
      <w:r>
        <w:rPr>
          <w:rFonts w:hint="eastAsia" w:eastAsia="方正小标宋_GBK"/>
          <w:sz w:val="30"/>
          <w:szCs w:val="30"/>
          <w:lang w:eastAsia="zh-CN"/>
        </w:rPr>
        <w:t>二</w:t>
      </w:r>
      <w:r>
        <w:rPr>
          <w:rFonts w:hint="eastAsia" w:eastAsia="方正小标宋_GBK"/>
          <w:sz w:val="30"/>
          <w:szCs w:val="30"/>
        </w:rPr>
        <w:t xml:space="preserve">部分 </w:t>
      </w:r>
      <w:r>
        <w:rPr>
          <w:rFonts w:hint="eastAsia" w:eastAsia="方正小标宋_GBK"/>
          <w:sz w:val="30"/>
          <w:szCs w:val="30"/>
          <w:lang w:val="en-US" w:eastAsia="zh-CN"/>
        </w:rPr>
        <w:t>专项资金</w:t>
      </w:r>
      <w:r>
        <w:rPr>
          <w:rFonts w:hint="eastAsia" w:eastAsia="方正小标宋_GBK"/>
          <w:sz w:val="30"/>
          <w:szCs w:val="30"/>
        </w:rPr>
        <w:t>绩效目标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</w:t>
      </w:r>
      <w:r>
        <w:rPr>
          <w:rFonts w:hint="eastAsia" w:eastAsia="方正小标宋_GBK"/>
          <w:sz w:val="30"/>
          <w:szCs w:val="30"/>
          <w:lang w:val="en-US" w:eastAsia="zh-CN"/>
        </w:rPr>
        <w:t>10</w:t>
      </w:r>
    </w:p>
    <w:p>
      <w:pPr>
        <w:rPr>
          <w:rFonts w:hint="default" w:eastAsia="方正小标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1、</w:t>
      </w:r>
      <w:r>
        <w:rPr>
          <w:rFonts w:hint="eastAsia" w:eastAsia="方正仿宋_GBK"/>
          <w:sz w:val="32"/>
          <w:szCs w:val="32"/>
          <w:lang w:val="en-US" w:eastAsia="zh-CN"/>
        </w:rPr>
        <w:t>汽车租赁费</w:t>
      </w:r>
      <w:r>
        <w:rPr>
          <w:rFonts w:hint="eastAsia" w:eastAsia="方正仿宋_GBK"/>
          <w:sz w:val="32"/>
          <w:szCs w:val="32"/>
        </w:rPr>
        <w:t>项目绩效目标</w:t>
      </w:r>
      <w:r>
        <w:rPr>
          <w:rFonts w:hint="eastAsia" w:eastAsia="方正仿宋_GBK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</w:t>
      </w:r>
      <w:r>
        <w:rPr>
          <w:rFonts w:hint="eastAsia" w:eastAsia="方正小标宋_GBK"/>
          <w:sz w:val="30"/>
          <w:szCs w:val="30"/>
          <w:lang w:val="en-US" w:eastAsia="zh-CN"/>
        </w:rPr>
        <w:t>12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2、</w:t>
      </w:r>
      <w:r>
        <w:rPr>
          <w:rFonts w:hint="eastAsia" w:eastAsia="方正仿宋_GBK"/>
          <w:sz w:val="32"/>
          <w:szCs w:val="32"/>
          <w:lang w:val="en-US" w:eastAsia="zh-CN"/>
        </w:rPr>
        <w:t>新能源汽车维修费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13</w:t>
      </w:r>
    </w:p>
    <w:p>
      <w:pPr>
        <w:numPr>
          <w:ilvl w:val="0"/>
          <w:numId w:val="1"/>
        </w:num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综合环境治理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eastAsia" w:eastAsia="方正仿宋_GBK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14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4、</w:t>
      </w:r>
      <w:r>
        <w:rPr>
          <w:rFonts w:hint="eastAsia" w:eastAsia="方正仿宋_GBK"/>
          <w:sz w:val="32"/>
          <w:szCs w:val="32"/>
          <w:lang w:val="en-US" w:eastAsia="zh-CN"/>
        </w:rPr>
        <w:t>执法设备采购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5、拆违拆建设备租赁费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16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6、农（水）产品质量安全检查费项目绩效目标表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</w:t>
      </w:r>
      <w:r>
        <w:rPr>
          <w:rFonts w:hint="eastAsia" w:eastAsia="方正仿宋_GBK"/>
          <w:sz w:val="32"/>
          <w:szCs w:val="32"/>
          <w:lang w:val="en-US" w:eastAsia="zh-CN"/>
        </w:rPr>
        <w:t>17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7、工程造价评估费项目绩效目标表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18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8、通讯费项目绩效目标表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9、水费项目绩效目标表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10、电费项目绩效目标表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11、物业费项目绩效目标表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12、取暖费项目绩效目标表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13、打击违法捕捞渔船执法费用项目绩效目标表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</w:t>
      </w:r>
      <w:r>
        <w:rPr>
          <w:rFonts w:hint="eastAsia" w:eastAsia="方正仿宋_GBK"/>
          <w:sz w:val="32"/>
          <w:szCs w:val="32"/>
          <w:lang w:val="en-US" w:eastAsia="zh-CN"/>
        </w:rPr>
        <w:t>24</w:t>
      </w:r>
    </w:p>
    <w:p>
      <w:pPr>
        <w:numPr>
          <w:ilvl w:val="0"/>
          <w:numId w:val="2"/>
        </w:num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道路标识牌、指示牌更换及维修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15、交通设施采购项目绩效目标表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16、道路维修项目绩效目标表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27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17、交通标线项目绩效目标表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28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18、</w:t>
      </w:r>
      <w:r>
        <w:rPr>
          <w:rFonts w:hint="eastAsia" w:eastAsia="方正仿宋_GBK"/>
          <w:sz w:val="32"/>
          <w:szCs w:val="32"/>
          <w:lang w:eastAsia="zh-CN"/>
        </w:rPr>
        <w:t>公交运营补贴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29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19、交通信号灯、电子屏维修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20、诉讼费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21、被装购置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22、培训费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33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23、消防站项目绩效目标表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34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24、自然风险普查项目绩效目标表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35</w:t>
      </w: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25、</w:t>
      </w:r>
      <w:r>
        <w:rPr>
          <w:rFonts w:hint="eastAsia" w:eastAsia="方正仿宋_GBK"/>
          <w:spacing w:val="-20"/>
          <w:w w:val="90"/>
          <w:sz w:val="32"/>
          <w:szCs w:val="32"/>
          <w:lang w:val="en-US" w:eastAsia="zh-CN"/>
        </w:rPr>
        <w:t>应急事故、危化品生产事故应急预案编制、评审项目绩效目标表</w:t>
      </w:r>
      <w:r>
        <w:rPr>
          <w:rFonts w:hint="default" w:ascii="Times New Roman" w:hAnsi="Times New Roman" w:eastAsia="方正仿宋_GBK" w:cs="Times New Roman"/>
          <w:spacing w:val="-20"/>
          <w:w w:val="9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</w:t>
      </w:r>
      <w:r>
        <w:rPr>
          <w:rFonts w:hint="eastAsia" w:eastAsia="方正仿宋_GBK"/>
          <w:sz w:val="32"/>
          <w:szCs w:val="32"/>
          <w:lang w:val="en-US" w:eastAsia="zh-CN"/>
        </w:rPr>
        <w:t>36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26、冲锋舟燃料费项目绩效目标表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37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27、应急物资项目绩效目标表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28、救援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29、</w:t>
      </w:r>
      <w:r>
        <w:rPr>
          <w:rFonts w:hint="eastAsia" w:eastAsia="方正仿宋_GBK"/>
          <w:sz w:val="32"/>
          <w:szCs w:val="32"/>
          <w:lang w:val="en-US" w:eastAsia="zh-CN"/>
        </w:rPr>
        <w:t>演练费项目绩效目标表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30、</w:t>
      </w:r>
      <w:r>
        <w:rPr>
          <w:rFonts w:hint="eastAsia" w:eastAsia="方正仿宋_GBK"/>
          <w:sz w:val="32"/>
          <w:szCs w:val="32"/>
          <w:lang w:val="en-US" w:eastAsia="zh-CN"/>
        </w:rPr>
        <w:t>事故鉴定及委托费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31、</w:t>
      </w:r>
      <w:r>
        <w:rPr>
          <w:rFonts w:hint="eastAsia" w:eastAsia="方正仿宋_GBK"/>
          <w:sz w:val="32"/>
          <w:szCs w:val="32"/>
          <w:lang w:val="en-US" w:eastAsia="zh-CN"/>
        </w:rPr>
        <w:t>办公设备购置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32、</w:t>
      </w:r>
      <w:r>
        <w:rPr>
          <w:rFonts w:hint="eastAsia" w:eastAsia="方正仿宋_GBK"/>
          <w:sz w:val="32"/>
          <w:szCs w:val="32"/>
          <w:lang w:val="en-US" w:eastAsia="zh-CN"/>
        </w:rPr>
        <w:t>宣传费用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</w:t>
      </w:r>
    </w:p>
    <w:p>
      <w:pPr>
        <w:rPr>
          <w:rFonts w:hint="eastAsia" w:eastAsia="方正仿宋_GBK"/>
          <w:sz w:val="32"/>
          <w:szCs w:val="32"/>
          <w:lang w:val="en-US" w:eastAsia="zh-CN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第一部分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整体绩效目标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一、总体绩效目标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为科学规范设定绩效目标，提高绩效目标质量，根据唐山国际旅游岛《全面实施预算绩效管理的实施意见》和《唐山国际旅游岛预算绩效管理办法》，我单位严格制定了2022年各项项目绩效目标：1、依法查处各类违法行为，维护辖区稳定发展。2、开展警示教育活动，组织全区从业人员取得安全生产相关资格证书，提升全区从业人员安全生产意识；预防和减少事故的发生，确保全区安全生产形势持续稳定好转。3、做好运输行业管理，贯彻执行国家有关道路运输行业管理政策、法律、法规，以及辖区内广告牌匾、电子屏进行统一规划与景区建设协调一致。4、制定完善预算绩效管理制度、资金管理办法、工作保障制度等，为全年预算绩效目标的实现奠定制度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二、分项绩效目标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根据各科室工作职责及实际工作需要，我单位申报的2022年项目如下：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（一）汽车租赁费项目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绩效指标：减少开支，节约成本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（二）新能源汽车维修费项目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绩效目标：新能源汽车维修、保险等费用。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绩效指标：对车辆出现故障及时维修，保障日常巡逻。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（三）综合环境治理项目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绩效目标：清理辖区垃圾。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绩效指标：提升景区形象，统一规划。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（四）执法设施设备采购项目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绩效目标：优化办公环境，提高办事效率。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绩效指标：保障工作质量。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（五）拆违拆检设备租赁项目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绩效目标：拆除景区内违规建筑。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绩效指标：提升景区形象，统一规划。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（六）农（水）产品质量安全检查费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绩效目标：保障农（水）产品质量安全。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绩效指标：不定期抽查农（水）产品，保障质量安全。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（七）工程造价评估费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绩效目标：聘请第三方依法依规对工程造价进行核算。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绩效指标：按照工程造价5%进行处罚。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（八）通讯费项目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绩效目标：保障办公场所的网络、通讯设备不中断。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绩效指标：提高工作效率，按时完成工作任务。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（九）水费项目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绩效目标：办公场所正常用水。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绩效指标：保障办公场所正常用水。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（十）电费项目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绩效目标：办公场所正常用电。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绩效指标：保障正常办公用电，保质保量完成工作任务。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（十一）物业费项目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绩效目标：办公场地物业费。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绩效指标：优化工作环境。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（十二）取暖费项目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绩效目标：办公场所冬季取暖。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绩效指标：优化办公环境。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（十三）打击违法捕捞渔船执法费用项目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绩效目标：打击海上非法渔具捕捞和禁用渔具活动及禁渔期违法捕捞违法活动。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绩效指标：加强渔业资源保护。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（十四）道路标识牌、指示牌更换及维修项目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绩效目标：滨海大道及辖区交通道路标识牌、指示牌更换及维修。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绩效指标：提升景区形象，为游客提供准确路标。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（十五）交通设施采购项目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绩效目标：辖区道路护栏、隔离墩、反光柱、移动太阳能信号灯采购，提升景区形象。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绩效指标：提升景区形象，保障辖区道路安全。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（十六）道路维修项目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绩效目标：滨海大道挤下去精通道路维修及填补。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绩效指标：保障小区道路完好、畅通。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（十七）交通标线项目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绩效目标：辖区内道路划定交通标线。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绩效指标：保障辖区通行秩序畅通。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（十八）公交运营补贴项目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绩效目标：为来辖区旅游的游客提供便捷交通。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绩效指标：方便辖区群众出行及外来人员旅游。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（十九）交通信号灯、电子屏维修费项目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绩效目标：辖区内的电子屏、信号灯设备进行维修。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绩效指标：保障辖区交通安全。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（二十）诉讼费项目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绩效目标：依法依规保障管委会的利益。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绩效指标：保障管委会的合法利益。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（二十一）被装购置费项目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绩效目标：执法人员统一着装。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绩效指标：提升执法队伍的形象。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（二十二）培训费项目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绩效目标：提高执法人员业务知识水平及办事效率。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绩效指标：认真学习，提升服务基层能力。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（二十三）消防队伍建设项目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绩效目标：消防站办公用房改造，训练场地装修。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绩效指标：提高工作效率，更好地完成消防救援任务。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（二十四）自然风险普查项目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绩效目标：辖区内自然风险普查。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绩效指标：降低各种风险带来的损失。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（二十五）应急事故、危化品生产事故应急预案编制、评审项目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绩效目标：应急事故、危化品生产事故应急预案编制、评审。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绩效指标：预防和降低事故发生率。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二十六）冲锋舟燃料费项目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绩效目标：冲锋舟燃料费。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绩效指标：保障冲锋舟正常工作。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（二十七）应急物资项目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绩效目标：应急救援物资采购。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绩效指标：防汛等应急物资储备。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（二十八）救援费项目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绩效目标：对海上出现的突发事件进行救援。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绩效指标：减少生命财产损失。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（二十九）演练费用项目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绩效目标：消防、防汛、近海救援演练。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绩效指标：锻炼消防、救援力量。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（三十）事故鉴定及委托费项目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绩效目标：处理突发事件，聘用第三方鉴定费用。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绩效指标：减轻事故方经济负担。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（三十一）办公设备购置项目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绩效目标：优化办公环境，提高工作效率。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绩效指标：提高工作积极性。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（三十二）宣传费用项目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绩效目标：相关法律的宣传，对辖区违章建筑拆除产生的公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证费及诉讼费。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绩效指标：提高辖区群众法律意识，依法拆除违章建制。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三、工作保障措施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（一）完善制度建设。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制定完善预算绩效管理制度、资金管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理办法、工作保障制度等，为全年预算绩效目标的实现奠定制度基础。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（二）加强支出管理。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通过优化支出结构、编细编实预算、加快履行政府采购手续、尽快启动项目、及时支付资金，按规定及时下达资金等多种措施，确保支出进度达标。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（三）加强绩效运行监控。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按要求开展绩效运行监控，发现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问题及时采取措施，确保绩效目标如期保质实现。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（四）做好绩效自评。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按要求开展上年度部门预算绩效自评和重点评价工作，对评价中发现的问题及时整改，调整优化支出结构，提高财政资金使用效益。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（五）规范财务资产管理。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完善财务管理制度，严格审批程序，加强固定资产登记、使用和报废处置管理，做到支出合理，物尽其用。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（六）加强内部监督。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（七）加强宣传培训调研等。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第二部分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预算项目绩效目标</w:t>
      </w: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3"/>
        </w:num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汽车租赁费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150"/>
        <w:gridCol w:w="694"/>
        <w:gridCol w:w="959"/>
        <w:gridCol w:w="2198"/>
        <w:gridCol w:w="1136"/>
        <w:gridCol w:w="2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汽车租赁费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9万元。其中：财政资金9万元，其他资金0万元。主要用于租赁汽车的维修、保养、燃料、保险等费用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7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目标1：汽车的维修、保养、燃料保险等费用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目标2：每季度支付一次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租赁汽车数量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汽车2辆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保障车辆安全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及时维修保养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按季度支付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总费用不超过9万元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＜9万元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生态环保、降低成本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＞90%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4"/>
        </w:num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新能源汽车维修费项目绩效表</w:t>
      </w:r>
    </w:p>
    <w:tbl>
      <w:tblPr>
        <w:tblStyle w:val="3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624"/>
        <w:gridCol w:w="1800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新能源汽车维修费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预算数8万元。其中：财政资金8万元。主要用于新能源汽车维修、保险费用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目标1：新能源汽车维修费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目标2：新能汽车保险费用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新能源汽车数量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我单位共有4辆新能源汽车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4辆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维修费用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出现故障及时维修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8万元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2021年、2022年两年维修费用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维护辖区秩序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绿色环保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减少环境污染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车辆维修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保障日常巡逻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3、综合环境治理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42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263"/>
        <w:gridCol w:w="1317"/>
        <w:gridCol w:w="1410"/>
        <w:gridCol w:w="598"/>
        <w:gridCol w:w="465"/>
        <w:gridCol w:w="1245"/>
        <w:gridCol w:w="2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综合环境治理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预算规模及资金用途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  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7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清理辖区垃圾，人工费、租赁设备费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资金支出计划（%）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6月底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9月底</w:t>
            </w: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</w:t>
            </w:r>
          </w:p>
        </w:tc>
        <w:tc>
          <w:tcPr>
            <w:tcW w:w="7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清理辖区垃圾等，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</w:t>
            </w:r>
          </w:p>
        </w:tc>
        <w:tc>
          <w:tcPr>
            <w:tcW w:w="7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优化辖区环境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产出指标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清理次数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不定期检查清理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＞4次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清理效果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不留卫生死角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清理时间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发现问题及时清理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＜24小时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清理费用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人工费、设备费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优化辖区环境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优化辖区环境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统一规划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清理景区垃圾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满意度指标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游客满意度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</w:tbl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742" w:tblpY="810"/>
        <w:tblOverlap w:val="never"/>
        <w:tblW w:w="104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36"/>
        <w:gridCol w:w="2352"/>
        <w:gridCol w:w="1173"/>
        <w:gridCol w:w="790"/>
        <w:gridCol w:w="1096"/>
        <w:gridCol w:w="1226"/>
        <w:gridCol w:w="1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执法设备设施采购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执法设备设施采购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我单位新增15名执法人员，没有执法设备设施。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3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数量指标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记录仪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15台记录仪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15台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手持执法终端（海上执法）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3台手持执法终端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数字集群终端（海上）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数字集群终端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摄像机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摄像机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行车记录仪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实时取证，1部/执法车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执法记录仪采集站（工作站）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存储音视频证据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激光测距仪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辅助测量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1个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肩闪灯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夜间执法安全防护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15个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交通指挥棒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夜间执法指挥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10个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时效指数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按时完成采购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12月底前完成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lang w:val="en-US" w:eastAsia="zh-CN"/>
              </w:rPr>
              <w:t>12月底前完成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质量指标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项目完成率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项目完成率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按照实际工作需要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成本指数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符合采购要求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记录仪1100元/台，手持执法终端3500元/台，数字集群终端5750元/台，摄像机5000元/，台，行车记录仪990元/部，执法记录仪采集站16500元/台，执法手持终端（执法科）1150元/台，激光测距仪2500元/个，肩闪灯100元/个，交通指挥棒78元/个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9万元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经济效益指标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按时采购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社会效益指标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可持续性影响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保障工作质量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服务对象满意度指数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满意度达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4、执法设备购置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5、拆违拆建设备租赁费</w:t>
      </w:r>
    </w:p>
    <w:tbl>
      <w:tblPr>
        <w:tblStyle w:val="3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44"/>
        <w:gridCol w:w="689"/>
        <w:gridCol w:w="953"/>
        <w:gridCol w:w="2279"/>
        <w:gridCol w:w="1766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拆违拆建设备租赁费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3 万元。其中：财政资金    万元，其他资金    万元。主要用于拆违拆建设备的租赁。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5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目标1确保拆违拆建设备正常租用，保证拆违拆建进度。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拆违拆建设备（辆）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租赁的拆违拆建设备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2022年12月底前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拆违产生的费用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违法建筑得到拆除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当年违法建筑拆除数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1000平方米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景区统一规划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统一规划，提升景区想想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6、农（水）产品质量检测费项目绩效目标表</w:t>
      </w:r>
    </w:p>
    <w:tbl>
      <w:tblPr>
        <w:tblStyle w:val="3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59"/>
        <w:gridCol w:w="1516"/>
        <w:gridCol w:w="1395"/>
        <w:gridCol w:w="895"/>
        <w:gridCol w:w="767"/>
        <w:gridCol w:w="830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>农（水）产品质量安全检查费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保障农（水）产品质量安全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对农（水）产品质量安全进行检查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检验次数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检验次数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年底前完成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聘用第三方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30000元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保障了农（水）产品质量安全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98%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5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工程造价评估费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150"/>
        <w:gridCol w:w="694"/>
        <w:gridCol w:w="959"/>
        <w:gridCol w:w="2198"/>
        <w:gridCol w:w="1136"/>
        <w:gridCol w:w="2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工程造价评估费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万元，其他资金0万元。主要用于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支付采购工程造价咨询单位的评估费。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7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目标1：用于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支付采购工程造价咨询单位的评估费。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第一季度完成。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评估项目数量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评估项目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2个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工程造价评估的合理、合规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完成项目评估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需要费用9.5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生态环保、降低成本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＞90%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8、通讯费项目绩效目标表</w:t>
      </w:r>
    </w:p>
    <w:tbl>
      <w:tblPr>
        <w:tblStyle w:val="3"/>
        <w:tblW w:w="92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88"/>
        <w:gridCol w:w="1512"/>
        <w:gridCol w:w="854"/>
        <w:gridCol w:w="412"/>
        <w:gridCol w:w="900"/>
        <w:gridCol w:w="1034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通讯费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通讯费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我单位办公场地新增电话及网络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电话及网络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3部电话及网费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3部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3部电话及网费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9、水费项目绩效目标表</w:t>
      </w:r>
    </w:p>
    <w:tbl>
      <w:tblPr>
        <w:tblStyle w:val="3"/>
        <w:tblW w:w="96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37"/>
        <w:gridCol w:w="1553"/>
        <w:gridCol w:w="879"/>
        <w:gridCol w:w="714"/>
        <w:gridCol w:w="835"/>
        <w:gridCol w:w="771"/>
        <w:gridCol w:w="2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我单位办公场地用水费用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办公场所用水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12月底完成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10、电费项目绩效目标表</w:t>
      </w:r>
    </w:p>
    <w:tbl>
      <w:tblPr>
        <w:tblStyle w:val="3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490"/>
        <w:gridCol w:w="1594"/>
        <w:gridCol w:w="787"/>
        <w:gridCol w:w="700"/>
        <w:gridCol w:w="818"/>
        <w:gridCol w:w="755"/>
        <w:gridCol w:w="1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电费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办公场所电费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我单位办公场地用电费用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办公场所用电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电费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电费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11、物业费项目绩效目标表</w:t>
      </w:r>
    </w:p>
    <w:tbl>
      <w:tblPr>
        <w:tblStyle w:val="3"/>
        <w:tblW w:w="9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91"/>
        <w:gridCol w:w="1500"/>
        <w:gridCol w:w="697"/>
        <w:gridCol w:w="646"/>
        <w:gridCol w:w="755"/>
        <w:gridCol w:w="923"/>
        <w:gridCol w:w="2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物业费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1.68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1.68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rPr>
          <w:trHeight w:val="88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物业费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我单位办公场地用物业费用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0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2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办公场所物业费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446.65平方米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0.84万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18元/平方米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1.68万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2021年、2022年两年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12、取暖费项目绩效目标表</w:t>
      </w:r>
    </w:p>
    <w:tbl>
      <w:tblPr>
        <w:tblStyle w:val="3"/>
        <w:tblW w:w="94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86"/>
        <w:gridCol w:w="1476"/>
        <w:gridCol w:w="1072"/>
        <w:gridCol w:w="692"/>
        <w:gridCol w:w="809"/>
        <w:gridCol w:w="1060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取暖费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2.98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取暖费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我单位办公场地冬季取暖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取暖面积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办公用房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670.89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670.89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平米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33元/平米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2.98万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13、打击违法捕捞渔船执法费用项目绩效目标表</w:t>
      </w:r>
    </w:p>
    <w:tbl>
      <w:tblPr>
        <w:tblStyle w:val="3"/>
        <w:tblW w:w="94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767"/>
        <w:gridCol w:w="1164"/>
        <w:gridCol w:w="1263"/>
        <w:gridCol w:w="673"/>
        <w:gridCol w:w="786"/>
        <w:gridCol w:w="969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打击违法捕捞渔船执法费用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打击违法捕捞渔船执法费用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40%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70%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打击海上非法网具捕捞和使用禁用网具活动及禁渔期捕捞违法活动。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租船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20次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人工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60人次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60人次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燃油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动用快艇80次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80次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冷冻费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对查获的海产品进行冷冻保存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10000元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时效指数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按时完成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年底前完成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年底前完成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符合采购要求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租船6000元/次，人工500元/人，燃油500元/次，冷冻费10000元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≤20万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按时采购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促进渔业生产的发展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渔业资源得到保护，促进渔业生产发展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98%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年初工作计划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14、道路标识牌、指示牌更换及维修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0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81"/>
        <w:gridCol w:w="1077"/>
        <w:gridCol w:w="1136"/>
        <w:gridCol w:w="723"/>
        <w:gridCol w:w="779"/>
        <w:gridCol w:w="716"/>
        <w:gridCol w:w="1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道路标识牌、指示牌更换及维修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道路标识牌、指示牌更换及维修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滨海大道及辖区交通道路标识牌、指示牌更换及维修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rPr>
          <w:trHeight w:val="50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1063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 xml:space="preserve">产出指标 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购买数量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滨海大道及辖区道路标识牌、指示牌更换及维修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负责全区指示牌、标志牌维修、更换，保障辖区通行秩序</w:t>
            </w:r>
          </w:p>
        </w:tc>
      </w:tr>
      <w:tr>
        <w:trPr>
          <w:trHeight w:val="80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12月底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负责全区指示牌、标志牌维修、更换，保障辖区通行秩序</w:t>
            </w:r>
          </w:p>
        </w:tc>
      </w:tr>
      <w:tr>
        <w:trPr>
          <w:trHeight w:val="102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  <w:t>采购费用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滨海大道及辖区道路标识牌、指示牌更换及维修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负责全区指示牌、标志牌维修、更换，保障辖区通行秩序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效果指标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道路标识牌维修、更换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道路指示牌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道路指示牌更换及维修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道路标识牌、指示牌维修、更换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道路标识牌、指示牌维修、更换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满意度指标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群众满意度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　群众满意度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15、交通设施采购项目绩效目标表</w:t>
      </w:r>
    </w:p>
    <w:tbl>
      <w:tblPr>
        <w:tblStyle w:val="3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069"/>
        <w:gridCol w:w="1021"/>
        <w:gridCol w:w="1121"/>
        <w:gridCol w:w="606"/>
        <w:gridCol w:w="686"/>
        <w:gridCol w:w="747"/>
        <w:gridCol w:w="2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交通设施采购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辖区道路护栏、隔离墩、反光柱、移动太阳能信号灯采购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辖区道路护栏、隔离墩、反光柱、移动太阳能信号灯采购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采购数量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辖区道路护栏、隔离墩、反光柱、移动太阳能信号灯采购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底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项目或工程完成率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项目或工程完成率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采购费用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辖区道路护栏、隔离墩、反光柱、移动太阳能信号灯采购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300万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交通设施采购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辖区道路护栏、隔离墩采购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交通设施采购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辖区道路反光柱采购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交通设施采购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辖区道路移动太阳能信号灯采购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16、道路维修项目绩效目标表</w:t>
      </w:r>
    </w:p>
    <w:tbl>
      <w:tblPr>
        <w:tblStyle w:val="3"/>
        <w:tblW w:w="93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959"/>
        <w:gridCol w:w="1410"/>
        <w:gridCol w:w="1002"/>
        <w:gridCol w:w="566"/>
        <w:gridCol w:w="974"/>
        <w:gridCol w:w="363"/>
        <w:gridCol w:w="436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道路维修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滨海大道及辖区交通道路维修、填补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滨海大道及辖区交通道路维修、填补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9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采购数量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12月底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采购费用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道路维修、填补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道路维修、填补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　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道路维修、填补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　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群众满意度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群众满意度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17、交通标线项目绩效目标表</w:t>
      </w:r>
    </w:p>
    <w:tbl>
      <w:tblPr>
        <w:tblStyle w:val="3"/>
        <w:tblW w:w="89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61"/>
        <w:gridCol w:w="914"/>
        <w:gridCol w:w="970"/>
        <w:gridCol w:w="474"/>
        <w:gridCol w:w="858"/>
        <w:gridCol w:w="869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交通标线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交通标线划定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滨海大道及辖区交通道路标线划定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采购数量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滨海大道及辖区交通道路标线划定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保障辖区通行秩序畅通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12月底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保障辖区通行秩序畅通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采购费用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滨海大道及辖区交通道路标线划定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19万元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保障辖区通行秩序畅通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交通道路标线划定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滨海大道及乐北路标线划定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交通道路标线划定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滨海景观道和迎祥路标线划定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交通道路标线划定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旅游专用线标线划定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群众满意度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群众满意度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公交运营补贴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6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092"/>
        <w:gridCol w:w="659"/>
        <w:gridCol w:w="910"/>
        <w:gridCol w:w="2493"/>
        <w:gridCol w:w="1835"/>
        <w:gridCol w:w="1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预算数29.17万元。其中：财政资金29.17万元。主要用于公交运营补贴，公交车电费。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65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目标1：管委会之海港开发区公交补贴，分两次支付，分别于6月、12月支付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目标2：偿还2020年、2021年费用未支付部分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每天发车次数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海港至三贝公交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按照实际情况需要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保障每天发车次数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准时准点发车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按照实际情况需要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95%以上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为来辖区群众提供便捷交通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提供便捷交通，方便游客来我辖区旅游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85%以上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19、交通信号灯、电子屏维修费</w:t>
      </w:r>
    </w:p>
    <w:tbl>
      <w:tblPr>
        <w:tblStyle w:val="3"/>
        <w:tblW w:w="103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235"/>
        <w:gridCol w:w="1155"/>
        <w:gridCol w:w="3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交通信号灯、电子屏维修费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预算数15万元。其中：财政资金15万元，其他资金0万元。主要用于辖区内电子屏、信号灯维修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目标1：辖区内由6套信号灯4套电子警察设备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目标2：辖区内4块电子屏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6套信号灯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对损坏、故障信号灯进行维修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4套电子警察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对损坏、故障信号灯进行维修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4块电子屏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提示、警示、宣传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及时发现及时维修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维修费用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降低事故率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保障辖区道路交通安全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保障辖区交通安全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保障辖区道路交通安全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保障亮灯率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保障辖区道路交通安全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6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诉讼费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70"/>
        <w:gridCol w:w="705"/>
        <w:gridCol w:w="1327"/>
        <w:gridCol w:w="2708"/>
        <w:gridCol w:w="1652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诉讼费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2 万元。其中：财政资金 2 万元，其他资金 0 万元。主要用于城管执法，农业、渔业执法等方面的诉讼费用。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目标1：保证城管执法、农业（渔业）执法的诉讼工作正常完成。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目标2：保证诉讼效率。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新增城管诉讼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新增城管诉讼事件2次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新增农业诉讼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新增农业诉讼事件1次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新增渔业诉讼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新增渔业诉讼事件3次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减少城管、农业、渔业经济损失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减少城管、农业、渔业经济损失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保障城管执法、农业（渔业）执法等工作顺利完成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保障城管执法、农业（渔业）执法等工作顺利完成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95%以上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全年空气优良天数增长率（%）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全年空气优良天数增长率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保障诉讼工作的完成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保障诉讼工作的完成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21、被装购置费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34"/>
        <w:gridCol w:w="2065"/>
        <w:gridCol w:w="1256"/>
        <w:gridCol w:w="713"/>
        <w:gridCol w:w="831"/>
        <w:gridCol w:w="1024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被装购置费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6.5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5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执法服装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5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提升执法队伍形象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产出指标 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行政执法制服及服饰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15套制服及服饰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15套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年底前完成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＞95%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行政执法制服及服饰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6.5万元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提高执法队伍形象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提高执法队伍形象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提高执法队伍形象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364"/>
        <w:gridCol w:w="1500"/>
        <w:gridCol w:w="2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预算数5.25万元。其中：财政资金 5.25 万元。 主要用于执法人员培训、安全生产培训、应急管理培训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目标1：提高执法人员业务知识水平及办事效率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目标2：更好地处理突发事件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培训次数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提高业务知识水平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培训天数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每次培训的天数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培训计划内按期完成率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每季度一次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培训费用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聘请有资质的讲师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5.25万元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降低事故率，减少损失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降低各类事故发生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提升群众满意度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提升执法人员综合素质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提高办事效率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23、消防站项目绩效目标表</w:t>
      </w:r>
    </w:p>
    <w:tbl>
      <w:tblPr>
        <w:tblStyle w:val="3"/>
        <w:tblW w:w="97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236"/>
        <w:gridCol w:w="1155"/>
        <w:gridCol w:w="2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150万元。其中：财政资金150 万元。主要用于消防队伍建设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6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消防站办公用房改造，训练场地装修，消防设备采购等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消防站及配套设施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年底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经济效益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保障辖区消防安全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负责消防、救援任务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生态效益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保障辖区消防安全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负责消防、救援任务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7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自然风险普查项目绩效目标表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自然风险普查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预算数30万元。其中：财政资金30万元.主要用于聘请第三方对辖区自然风险进行普查。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目标1：辖区自然风险普查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普查次数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综合性普查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普查费用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减少事故发生率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预防减少各类事故发生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7"/>
        </w:numPr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应急事故、危化品生产事故应急预案编制、评审项目绩效目标表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应急事故、危化品生产事故应急预案编制、审批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万元.主要用于应急事故、危化品生产事故应急预案编制、审批。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目标1：应急事故、危化品生产事故应急预案编制、审批对菩提岛、月岛存在的安全隐患进行评估改善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编制、评审费用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更好的处理突发事故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预防减少各类事故发生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7"/>
        </w:numPr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冲锋舟燃料费项目绩效目标表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冲锋舟燃料费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预算数3万元。其中：财政资金3万元.主要用于冲锋舟燃料费用。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目标1：保障冲锋舟工作需要燃料费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工作需要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工作效率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工作效率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27、应急物资项目绩效目标表</w:t>
      </w:r>
    </w:p>
    <w:tbl>
      <w:tblPr>
        <w:tblStyle w:val="3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429"/>
        <w:gridCol w:w="1350"/>
        <w:gridCol w:w="26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应急物资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万元。主要用于采购应急救援物资设备。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应急物资采购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产出指标(必填项)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8顶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强光手电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防汛雨衣、雨靴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30身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防洪袋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1300个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100件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50件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50把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经济效益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防汛、应急物资储备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生态效益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防汛、应急物资储备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28、救援费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万元.主要用于对海上出现的突发事件进行救援。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目标1：对菩提岛、月岛存在的安全隐患进行评估改善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目标2：处理海上突发事件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救援次数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处理突发事件费用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减少生命财产损失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预防减少各类事故发生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29、演练费用项目绩效目标表</w:t>
      </w:r>
    </w:p>
    <w:tbl>
      <w:tblPr>
        <w:tblStyle w:val="3"/>
        <w:tblW w:w="95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732"/>
        <w:gridCol w:w="1143"/>
        <w:gridCol w:w="975"/>
        <w:gridCol w:w="1466"/>
        <w:gridCol w:w="709"/>
        <w:gridCol w:w="449"/>
        <w:gridCol w:w="3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演练费用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2.5万元。其中：财政资金2.5万元。主要用于消防、防汛、近海救援演练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54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完成消防、防汛、近海救援演练任务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产出指标(必填项)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演练次数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消防演练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防汛演练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近海救援演练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经济效益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神态效益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30、事故鉴定及委托费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8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180"/>
        <w:gridCol w:w="712"/>
        <w:gridCol w:w="984"/>
        <w:gridCol w:w="2255"/>
        <w:gridCol w:w="1165"/>
        <w:gridCol w:w="2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事故鉴定及委托费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预算数2万元。其中：财政资金 2万元，其他资金0万元。主要用于事故鉴定聘请第三方费用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目标1：处理突发事件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目标2：聘请第三方费用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处突次数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接到消息及时处理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接到消息及时处理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处理费用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减轻事故家属经济负担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降低事故家属经济负担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2万元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31、办公设备购置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7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836"/>
        <w:gridCol w:w="1296"/>
        <w:gridCol w:w="981"/>
        <w:gridCol w:w="676"/>
        <w:gridCol w:w="788"/>
        <w:gridCol w:w="795"/>
        <w:gridCol w:w="2166"/>
      </w:tblGrid>
      <w:tr>
        <w:trPr>
          <w:trHeight w:val="6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办公设备购置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购置办公设备，完善办公条件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优化办公环境，提升工作效率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1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电脑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5台电脑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5台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笔记本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1台笔记本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打印机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1台打印机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传真机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1台传真机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时效指数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2021年年底前完成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成本指数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符合采购要求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电脑4500元/台，笔记本6000元/台，打印机2000元/台，传真机1300元/台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3万元元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质量指数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按时采购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服务对象满意度指数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年初工作计划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1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432"/>
        <w:gridCol w:w="1014"/>
        <w:gridCol w:w="1545"/>
        <w:gridCol w:w="691"/>
        <w:gridCol w:w="1044"/>
        <w:gridCol w:w="1206"/>
        <w:gridCol w:w="1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预算规模及资金用途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   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7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资金支出计划（%）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6月底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9月底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</w:t>
            </w:r>
          </w:p>
        </w:tc>
        <w:tc>
          <w:tcPr>
            <w:tcW w:w="7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相关法律的宣传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产出指标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宣传次数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每季度不少于一次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法律知识等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宣传费用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条幅、标语、诉讼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＜7万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效果指标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提高辖区群众法律意识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依法拆除违章建制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依法拆除违章建制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提高群众的法律意识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</w:tbl>
    <w:p/>
    <w:sectPr>
      <w:footerReference r:id="rId3" w:type="default"/>
      <w:pgSz w:w="11906" w:h="16838"/>
      <w:pgMar w:top="2098" w:right="1417" w:bottom="1984" w:left="1417" w:header="1559" w:footer="1559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82B96"/>
    <w:multiLevelType w:val="singleLevel"/>
    <w:tmpl w:val="82382B96"/>
    <w:lvl w:ilvl="0" w:tentative="0">
      <w:start w:val="20"/>
      <w:numFmt w:val="decimal"/>
      <w:suff w:val="nothing"/>
      <w:lvlText w:val="%1、"/>
      <w:lvlJc w:val="left"/>
    </w:lvl>
  </w:abstractNum>
  <w:abstractNum w:abstractNumId="1">
    <w:nsid w:val="937349DB"/>
    <w:multiLevelType w:val="singleLevel"/>
    <w:tmpl w:val="937349D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7B051A5"/>
    <w:multiLevelType w:val="singleLevel"/>
    <w:tmpl w:val="C7B051A5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2368ADB2"/>
    <w:multiLevelType w:val="singleLevel"/>
    <w:tmpl w:val="2368ADB2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241452BA"/>
    <w:multiLevelType w:val="singleLevel"/>
    <w:tmpl w:val="241452BA"/>
    <w:lvl w:ilvl="0" w:tentative="0">
      <w:start w:val="14"/>
      <w:numFmt w:val="decimal"/>
      <w:suff w:val="nothing"/>
      <w:lvlText w:val="%1、"/>
      <w:lvlJc w:val="left"/>
    </w:lvl>
  </w:abstractNum>
  <w:abstractNum w:abstractNumId="5">
    <w:nsid w:val="3CE87FC1"/>
    <w:multiLevelType w:val="singleLevel"/>
    <w:tmpl w:val="3CE87FC1"/>
    <w:lvl w:ilvl="0" w:tentative="0">
      <w:start w:val="7"/>
      <w:numFmt w:val="decimal"/>
      <w:suff w:val="nothing"/>
      <w:lvlText w:val="%1、"/>
      <w:lvlJc w:val="left"/>
    </w:lvl>
  </w:abstractNum>
  <w:abstractNum w:abstractNumId="6">
    <w:nsid w:val="65FE838F"/>
    <w:multiLevelType w:val="singleLevel"/>
    <w:tmpl w:val="65FE838F"/>
    <w:lvl w:ilvl="0" w:tentative="0">
      <w:start w:val="24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WE2MWRlNzQ1YTdiODdlYmFjNmVkMWZlYjkyOTQifQ=="/>
  </w:docVars>
  <w:rsids>
    <w:rsidRoot w:val="00000000"/>
    <w:rsid w:val="277E1B1A"/>
    <w:rsid w:val="473F1D4E"/>
    <w:rsid w:val="5BEE1A0C"/>
    <w:rsid w:val="6AAE1C5E"/>
    <w:rsid w:val="70061933"/>
    <w:rsid w:val="709D6D53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16806</Words>
  <Characters>19157</Characters>
  <Lines>0</Lines>
  <Paragraphs>0</Paragraphs>
  <TotalTime>11</TotalTime>
  <ScaleCrop>false</ScaleCrop>
  <LinksUpToDate>false</LinksUpToDate>
  <CharactersWithSpaces>19435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2021-12-06T01:27:00Z</dcterms:created>
  <dc:creator>Administrator</dc:creator>
  <cp:lastModifiedBy>lenovo</cp:lastModifiedBy>
  <dcterms:modified xsi:type="dcterms:W3CDTF">2022-06-29T02:32:22Z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65E05815DE4440E198AF95FA74284EAE</vt:lpwstr>
  </property>
</Properties>
</file>